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9318A" w14:textId="71D9FC43" w:rsidR="005E1879" w:rsidRPr="00A54C19" w:rsidRDefault="005E1879" w:rsidP="00A54C19">
      <w:pPr>
        <w:spacing w:line="480" w:lineRule="auto"/>
        <w:ind w:firstLine="720"/>
        <w:rPr>
          <w:rFonts w:ascii="Times New Roman" w:hAnsi="Times New Roman" w:cs="Times New Roman"/>
          <w:sz w:val="24"/>
          <w:szCs w:val="24"/>
        </w:rPr>
      </w:pPr>
      <w:bookmarkStart w:id="0" w:name="_Hlk88535331"/>
      <w:bookmarkEnd w:id="0"/>
    </w:p>
    <w:p w14:paraId="52AF7C77" w14:textId="3146D140" w:rsidR="000677AE" w:rsidRPr="00A54C19" w:rsidRDefault="000677AE" w:rsidP="00A54C19">
      <w:pPr>
        <w:spacing w:line="480" w:lineRule="auto"/>
        <w:ind w:firstLine="720"/>
        <w:rPr>
          <w:rFonts w:ascii="Times New Roman" w:hAnsi="Times New Roman" w:cs="Times New Roman"/>
          <w:sz w:val="24"/>
          <w:szCs w:val="24"/>
        </w:rPr>
      </w:pPr>
    </w:p>
    <w:p w14:paraId="04D64CEF" w14:textId="299DC63E" w:rsidR="000677AE" w:rsidRPr="00A54C19" w:rsidRDefault="000677AE" w:rsidP="00A54C19">
      <w:pPr>
        <w:spacing w:line="480" w:lineRule="auto"/>
        <w:ind w:firstLine="720"/>
        <w:rPr>
          <w:rFonts w:ascii="Times New Roman" w:hAnsi="Times New Roman" w:cs="Times New Roman"/>
          <w:sz w:val="24"/>
          <w:szCs w:val="24"/>
        </w:rPr>
      </w:pPr>
    </w:p>
    <w:p w14:paraId="24CB0421" w14:textId="1B6A2408" w:rsidR="000677AE" w:rsidRPr="00A54C19" w:rsidRDefault="000677AE" w:rsidP="00A54C19">
      <w:pPr>
        <w:spacing w:line="480" w:lineRule="auto"/>
        <w:ind w:firstLine="720"/>
        <w:rPr>
          <w:rFonts w:ascii="Times New Roman" w:hAnsi="Times New Roman" w:cs="Times New Roman"/>
          <w:sz w:val="24"/>
          <w:szCs w:val="24"/>
        </w:rPr>
      </w:pPr>
    </w:p>
    <w:p w14:paraId="51F509AB" w14:textId="4080B8E4" w:rsidR="000677AE" w:rsidRPr="00A54C19" w:rsidRDefault="000677AE" w:rsidP="00A54C19">
      <w:pPr>
        <w:spacing w:line="480" w:lineRule="auto"/>
        <w:ind w:firstLine="720"/>
        <w:rPr>
          <w:rFonts w:ascii="Times New Roman" w:hAnsi="Times New Roman" w:cs="Times New Roman"/>
          <w:sz w:val="24"/>
          <w:szCs w:val="24"/>
        </w:rPr>
      </w:pPr>
    </w:p>
    <w:p w14:paraId="2541DF84" w14:textId="6B2898E0" w:rsidR="000677AE" w:rsidRPr="00A54C19" w:rsidRDefault="000677AE" w:rsidP="00A54C19">
      <w:pPr>
        <w:spacing w:line="480" w:lineRule="auto"/>
        <w:ind w:firstLine="720"/>
        <w:rPr>
          <w:rFonts w:ascii="Times New Roman" w:hAnsi="Times New Roman" w:cs="Times New Roman"/>
          <w:sz w:val="24"/>
          <w:szCs w:val="24"/>
        </w:rPr>
      </w:pPr>
    </w:p>
    <w:p w14:paraId="0F7DC5FC" w14:textId="2022C0C4" w:rsidR="000677AE" w:rsidRPr="00A54C19" w:rsidRDefault="000677AE" w:rsidP="00A54C19">
      <w:pPr>
        <w:spacing w:line="480" w:lineRule="auto"/>
        <w:ind w:firstLine="720"/>
        <w:rPr>
          <w:rFonts w:ascii="Times New Roman" w:hAnsi="Times New Roman" w:cs="Times New Roman"/>
          <w:sz w:val="24"/>
          <w:szCs w:val="24"/>
        </w:rPr>
      </w:pPr>
    </w:p>
    <w:p w14:paraId="7049DCDE" w14:textId="5CAB1D4B" w:rsidR="000677AE" w:rsidRPr="00A54C19" w:rsidRDefault="000677AE" w:rsidP="00A54C19">
      <w:pPr>
        <w:spacing w:line="480" w:lineRule="auto"/>
        <w:ind w:firstLine="720"/>
        <w:rPr>
          <w:rFonts w:ascii="Times New Roman" w:hAnsi="Times New Roman" w:cs="Times New Roman"/>
          <w:sz w:val="24"/>
          <w:szCs w:val="24"/>
        </w:rPr>
      </w:pPr>
    </w:p>
    <w:p w14:paraId="2B8FAEC6" w14:textId="77777777" w:rsidR="000677AE" w:rsidRPr="00A54C19" w:rsidRDefault="000677AE" w:rsidP="00A54C19">
      <w:pPr>
        <w:spacing w:line="480" w:lineRule="auto"/>
        <w:ind w:firstLine="720"/>
        <w:rPr>
          <w:rFonts w:ascii="Times New Roman" w:hAnsi="Times New Roman" w:cs="Times New Roman"/>
          <w:sz w:val="24"/>
          <w:szCs w:val="24"/>
        </w:rPr>
      </w:pPr>
    </w:p>
    <w:p w14:paraId="79A51B31" w14:textId="66DF5091" w:rsidR="000677AE" w:rsidRPr="00A54C19" w:rsidRDefault="000677AE" w:rsidP="00A54C19">
      <w:pPr>
        <w:spacing w:line="480" w:lineRule="auto"/>
        <w:ind w:firstLine="720"/>
        <w:jc w:val="center"/>
        <w:rPr>
          <w:rFonts w:ascii="Times New Roman" w:hAnsi="Times New Roman" w:cs="Times New Roman"/>
          <w:b/>
          <w:bCs/>
          <w:sz w:val="24"/>
          <w:szCs w:val="24"/>
        </w:rPr>
      </w:pPr>
      <w:r w:rsidRPr="00A54C19">
        <w:rPr>
          <w:rFonts w:ascii="Times New Roman" w:hAnsi="Times New Roman" w:cs="Times New Roman"/>
          <w:b/>
          <w:bCs/>
          <w:sz w:val="24"/>
          <w:szCs w:val="24"/>
        </w:rPr>
        <w:t>Effects of Pollution on Rising Water Levels in Wetlands</w:t>
      </w:r>
    </w:p>
    <w:p w14:paraId="02983D3E" w14:textId="16C01A73"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Name</w:t>
      </w:r>
    </w:p>
    <w:p w14:paraId="62C363CD" w14:textId="2D6C9F5D"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Institution</w:t>
      </w:r>
    </w:p>
    <w:p w14:paraId="3B2A7134" w14:textId="2059A45F"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Date</w:t>
      </w:r>
    </w:p>
    <w:p w14:paraId="2A0397B2" w14:textId="77777777" w:rsidR="000677AE" w:rsidRPr="00A54C19" w:rsidRDefault="000677AE" w:rsidP="00A54C19">
      <w:pPr>
        <w:spacing w:line="480" w:lineRule="auto"/>
        <w:ind w:firstLine="720"/>
        <w:rPr>
          <w:rFonts w:ascii="Times New Roman" w:hAnsi="Times New Roman" w:cs="Times New Roman"/>
          <w:sz w:val="24"/>
          <w:szCs w:val="24"/>
        </w:rPr>
      </w:pPr>
    </w:p>
    <w:p w14:paraId="15904B9E" w14:textId="5BB1B8F9" w:rsidR="000677AE" w:rsidRPr="00A54C19" w:rsidRDefault="000677AE" w:rsidP="00A54C19">
      <w:pPr>
        <w:spacing w:line="480" w:lineRule="auto"/>
        <w:ind w:firstLine="720"/>
        <w:rPr>
          <w:rFonts w:ascii="Times New Roman" w:hAnsi="Times New Roman" w:cs="Times New Roman"/>
          <w:sz w:val="24"/>
          <w:szCs w:val="24"/>
        </w:rPr>
      </w:pPr>
    </w:p>
    <w:p w14:paraId="4C121AB9" w14:textId="6D98051E" w:rsidR="000677AE" w:rsidRPr="00A54C19" w:rsidRDefault="000677AE" w:rsidP="00A54C19">
      <w:pPr>
        <w:spacing w:line="480" w:lineRule="auto"/>
        <w:ind w:firstLine="720"/>
        <w:rPr>
          <w:rFonts w:ascii="Times New Roman" w:hAnsi="Times New Roman" w:cs="Times New Roman"/>
          <w:sz w:val="24"/>
          <w:szCs w:val="24"/>
        </w:rPr>
      </w:pPr>
    </w:p>
    <w:p w14:paraId="7C094EE6" w14:textId="0C24C944" w:rsidR="000677AE" w:rsidRPr="00A54C19" w:rsidRDefault="000677AE" w:rsidP="00A54C19">
      <w:pPr>
        <w:spacing w:line="480" w:lineRule="auto"/>
        <w:ind w:firstLine="720"/>
        <w:rPr>
          <w:rFonts w:ascii="Times New Roman" w:hAnsi="Times New Roman" w:cs="Times New Roman"/>
          <w:sz w:val="24"/>
          <w:szCs w:val="24"/>
        </w:rPr>
      </w:pPr>
    </w:p>
    <w:p w14:paraId="7A49E4FB" w14:textId="7FE2629F" w:rsidR="000677AE" w:rsidRPr="00A54C19" w:rsidRDefault="000677AE" w:rsidP="00A54C19">
      <w:pPr>
        <w:spacing w:line="480" w:lineRule="auto"/>
        <w:ind w:firstLine="720"/>
        <w:rPr>
          <w:rFonts w:ascii="Times New Roman" w:hAnsi="Times New Roman" w:cs="Times New Roman"/>
          <w:sz w:val="24"/>
          <w:szCs w:val="24"/>
        </w:rPr>
      </w:pPr>
    </w:p>
    <w:p w14:paraId="2AEE6E44" w14:textId="5F1C8EB7" w:rsidR="000677AE" w:rsidRPr="00A54C19" w:rsidRDefault="000677AE" w:rsidP="00A54C19">
      <w:pPr>
        <w:spacing w:line="480" w:lineRule="auto"/>
        <w:ind w:firstLine="720"/>
        <w:rPr>
          <w:rFonts w:ascii="Times New Roman" w:hAnsi="Times New Roman" w:cs="Times New Roman"/>
          <w:sz w:val="24"/>
          <w:szCs w:val="24"/>
        </w:rPr>
      </w:pPr>
    </w:p>
    <w:p w14:paraId="66875285" w14:textId="77777777" w:rsidR="00132A90" w:rsidRDefault="00132A90" w:rsidP="00132A90">
      <w:pPr>
        <w:spacing w:after="0" w:line="480" w:lineRule="auto"/>
        <w:rPr>
          <w:rFonts w:ascii="Times New Roman" w:hAnsi="Times New Roman" w:cs="Times New Roman"/>
          <w:sz w:val="24"/>
          <w:szCs w:val="24"/>
        </w:rPr>
      </w:pPr>
    </w:p>
    <w:p w14:paraId="0D83F200" w14:textId="08D17522" w:rsidR="00A54C19" w:rsidRPr="00A54C19" w:rsidRDefault="00A54C19" w:rsidP="00132A90">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lastRenderedPageBreak/>
        <w:t>Effects of Pollution on Rising Water Levels in Wetlands</w:t>
      </w:r>
    </w:p>
    <w:p w14:paraId="19E79A5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world has been experiencing a couple of climatic changes in recent days and associated with pollution. As Hao (2021) mentioned, pollution is the introduction of harmful materials into the environment, the pollutants. The pollutants can be natural, like volcanic or due to human activities. In the real sense, human activities like industrialization, deforestation, and agricultural activities are the primary water and air pollution courses. Pollution affects wetlands and marine ecosystems as well (Hao, 2021). Pollutants in the groundwater and freshwater surface that moves into wetlands cab be toxic to both plant and animals if they accumulate on the wetland sediments. These invasive substances alter the composition and wetland communities. The wetlands are usually calm under ordinary circumstances and can naturally match the pace of changing sea levels (Tang et al., 2019). Due to climate change, the sea levels rise and are projected to many coastal wetlands like Florida. When the wetlands are affected, other sectors like the tourism and hospitality industry are affected. This paper examines in depth the effects of pollution on wetlands like Florida. This will be analyzed by addressing the background of the problem, offering solutions to the problem, and addressing advertisements. </w:t>
      </w:r>
    </w:p>
    <w:p w14:paraId="6518686C"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Background Information</w:t>
      </w:r>
    </w:p>
    <w:p w14:paraId="746AE441" w14:textId="1EFAB98C"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Causes of rising water levels</w:t>
      </w:r>
    </w:p>
    <w:p w14:paraId="43C37678" w14:textId="71CA0748"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Ice melting from the land into the ocean</w:t>
      </w:r>
    </w:p>
    <w:p w14:paraId="3CA49FF4"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Ice melts from the land into the ocean, which has been happening in modern days due to climate changes (Rayner et al., 2021). Human activities are the root of this phenomenon. Mainly, since the initiation of the industrial revolution, greenhouse gases like carbon dioxide emissions have resulted in a rise in temperatures all over the world (Sea Level Rise. Org, 2020). The rise in temperatures in the poles leads to rapid melting of glaciers, calving off into the sea, and the impact is felt on land, especially on the areas around the sea. </w:t>
      </w:r>
    </w:p>
    <w:p w14:paraId="12991CA0" w14:textId="54288927"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lastRenderedPageBreak/>
        <w:t>Warming water that expands</w:t>
      </w:r>
    </w:p>
    <w:p w14:paraId="16EBD67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concept of thermal expansion can be used to describe how water bodies expand. Higher temperatures result in the thermal expansion (Rayner et al., 2021). The seas and oceans absorb heat from the atmosphere when there is an elevation of atmospheric temperatures. The water then expands and results in an increased volume of water in the oceans.</w:t>
      </w:r>
    </w:p>
    <w:p w14:paraId="708F000C" w14:textId="02F36B67"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Slowing gulf</w:t>
      </w:r>
    </w:p>
    <w:p w14:paraId="3901B961"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In case the Gulf Stream slows, the earth can experience disaster. Currently, there is a lack of consistency and predictable shifting around water, resulting in dramatic sea levels, especially on the east coast of the U.S (Sea Level Rise. Org, 2020). Florida is among the states in the U.S that could be adversely affected by the rising water levels. The place will also experience extremely cold winters, and there will be devastating disruptions in the monsoon seasons all across Europe. </w:t>
      </w:r>
    </w:p>
    <w:p w14:paraId="1231A32B"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Risks of Rising Sea Levels on Wetlands</w:t>
      </w:r>
    </w:p>
    <w:p w14:paraId="154D75CD" w14:textId="5C143BC0"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Impacts on health and transportation</w:t>
      </w:r>
    </w:p>
    <w:p w14:paraId="57ACF06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When the sea levels rise, flooding happens on the Wetlands. The chances of infection outbreaks in the affected area are high. In this case, waterborne infections and cholera are higher chances of happening (Davis et al., 2017). The transportation industry turns out to be much affected, and all the tourism activities are affected as well. </w:t>
      </w:r>
    </w:p>
    <w:p w14:paraId="208F3201" w14:textId="273C9153"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Effects on Tourisms</w:t>
      </w:r>
    </w:p>
    <w:p w14:paraId="307E05A3"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beaches and other fascinating places around the sea have been attracting tourists. As mentioned by Sea Level Rise. Org, (2020), the New Jersey’s beaches account for 70% of the state’s tourism revenue and support 10% of all the jobs within the state. New Jersey makes approximately $36.4 billion from the tourism industry. Tourism activities indeed keep the economies of wetlands moving (Sea Level Rise. Org, 2020). The rise in sea levels erodes </w:t>
      </w:r>
      <w:r w:rsidRPr="00A54C19">
        <w:rPr>
          <w:rFonts w:ascii="Times New Roman" w:eastAsia="Times New Roman" w:hAnsi="Times New Roman" w:cs="Times New Roman"/>
          <w:color w:val="0E101A"/>
          <w:sz w:val="24"/>
          <w:szCs w:val="24"/>
          <w:lang w:eastAsia="en-GB"/>
        </w:rPr>
        <w:lastRenderedPageBreak/>
        <w:t>natural resources like dunes and barrier islands and thus resulting in higher chances of flooding and threatening the growth of the wetlands. Florida has interesting beaches and sea shows as well. The money from visitors supports many businesses. The state makes at least $ 40 billion annually from the tourism industry—Tourisms are the primary source of income. Therefore, an increase in sea levels will prevent the state from running its affairs normally.</w:t>
      </w:r>
    </w:p>
    <w:p w14:paraId="6DAB1DAC" w14:textId="7DCCD1BB"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Endangered species losing habitats</w:t>
      </w:r>
    </w:p>
    <w:p w14:paraId="0224DCB7" w14:textId="48FFCBBE" w:rsidR="000677AE"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rise in sea levels disrupts coastal wetlands by drowning some species of plants. In addition, there are chances that the seawater will increase salt levels in the soil and water on land (Appannagari, 2017). All these series of happenings constitute a significant threat to the ecosystems, both marine and wetlands habitats, and people are in danger of experiencing storms. More importantly, the tourists are afraid of visiting the wetlands when there are threats of storms.  </w:t>
      </w:r>
    </w:p>
    <w:p w14:paraId="740BD321"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Solutions</w:t>
      </w:r>
    </w:p>
    <w:p w14:paraId="04AF82A4" w14:textId="4E60BA61" w:rsidR="00A54C19" w:rsidRPr="00B20781" w:rsidRDefault="00A54C19" w:rsidP="00B20781">
      <w:pPr>
        <w:pStyle w:val="ListParagraph"/>
        <w:numPr>
          <w:ilvl w:val="0"/>
          <w:numId w:val="16"/>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Public education</w:t>
      </w:r>
    </w:p>
    <w:p w14:paraId="5C33858C"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primary cause of the rise in the sea levels is pollution on air. Human activities like deforestation and exhaust fumes from industries and cars have affected polluted the air. This results in the rise of temperatures and thermal expansion and hence an increase in water levels (Sea Level Rise. Org, 2020). Therefore, public education on minimizing pollution on air will offer the most effective solution to rising sea levels. Industries need to be informed on the necessity of controlling the gases they release to the environment. People should as well stop deforestation, adopt reforestation and let the natural forests undisturbed.  </w:t>
      </w:r>
    </w:p>
    <w:p w14:paraId="3F974000" w14:textId="25D88917" w:rsidR="00A54C19" w:rsidRPr="00B20781" w:rsidRDefault="00A54C19" w:rsidP="00B20781">
      <w:pPr>
        <w:pStyle w:val="ListParagraph"/>
        <w:numPr>
          <w:ilvl w:val="0"/>
          <w:numId w:val="17"/>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Applying new technology in buildings</w:t>
      </w:r>
    </w:p>
    <w:p w14:paraId="287F084F" w14:textId="0AAACF8A" w:rsid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Currently, the constructors and builders are motivated to adopt green building practices (GBP). The GBP, are essential in developing sustainability site and creating eco-friendly building materials. In addition, the places around the Wetlands need to be taken good </w:t>
      </w:r>
      <w:r w:rsidRPr="00A54C19">
        <w:rPr>
          <w:rFonts w:ascii="Times New Roman" w:eastAsia="Times New Roman" w:hAnsi="Times New Roman" w:cs="Times New Roman"/>
          <w:color w:val="0E101A"/>
          <w:sz w:val="24"/>
          <w:szCs w:val="24"/>
          <w:lang w:eastAsia="en-GB"/>
        </w:rPr>
        <w:lastRenderedPageBreak/>
        <w:t>care of, and this can be done through elevating the building. The homeowners experiencing repeated flooding can apply HVAC systems, plumbing and electric meters on their floor</w:t>
      </w:r>
      <w:r w:rsidR="00055D3A">
        <w:rPr>
          <w:rFonts w:ascii="Times New Roman" w:eastAsia="Times New Roman" w:hAnsi="Times New Roman" w:cs="Times New Roman"/>
          <w:color w:val="0E101A"/>
          <w:sz w:val="24"/>
          <w:szCs w:val="24"/>
          <w:lang w:eastAsia="en-GB"/>
        </w:rPr>
        <w:t xml:space="preserve">. </w:t>
      </w:r>
      <w:r w:rsidRPr="00A54C19">
        <w:rPr>
          <w:rFonts w:ascii="Times New Roman" w:eastAsia="Times New Roman" w:hAnsi="Times New Roman" w:cs="Times New Roman"/>
          <w:color w:val="0E101A"/>
          <w:sz w:val="24"/>
          <w:szCs w:val="24"/>
          <w:lang w:eastAsia="en-GB"/>
        </w:rPr>
        <w:t xml:space="preserve"> (Sea Level Rise. Org, 2020). This will prevent future damage due to flooding from the sea. However, this system of the building is much expensive and not affordable by many people. The prominent hotels can be designed using these modern building styles, and this will keep the tourism activities in progress even when the sea levels rise.</w:t>
      </w:r>
    </w:p>
    <w:p w14:paraId="2C6E7D0B" w14:textId="0D477116" w:rsidR="00A54C19" w:rsidRPr="00B20781" w:rsidRDefault="00A54C19" w:rsidP="00B20781">
      <w:pPr>
        <w:pStyle w:val="ListParagraph"/>
        <w:numPr>
          <w:ilvl w:val="0"/>
          <w:numId w:val="17"/>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Building seawalls and rising roads.</w:t>
      </w:r>
    </w:p>
    <w:p w14:paraId="1CC23C6F" w14:textId="55E88C24" w:rsidR="00E01A5F" w:rsidRDefault="00A54C19" w:rsidP="00055D3A">
      <w:pPr>
        <w:spacing w:after="0" w:line="480" w:lineRule="auto"/>
        <w:ind w:firstLine="720"/>
        <w:rPr>
          <w:rFonts w:ascii="Times New Roman" w:eastAsia="Times New Roman" w:hAnsi="Times New Roman" w:cs="Times New Roman"/>
          <w:i/>
          <w:iCs/>
          <w:color w:val="0E101A"/>
          <w:sz w:val="24"/>
          <w:szCs w:val="24"/>
          <w:lang w:eastAsia="en-GB"/>
        </w:rPr>
      </w:pPr>
      <w:r w:rsidRPr="00A54C19">
        <w:rPr>
          <w:rFonts w:ascii="Times New Roman" w:eastAsia="Times New Roman" w:hAnsi="Times New Roman" w:cs="Times New Roman"/>
          <w:color w:val="0E101A"/>
          <w:sz w:val="24"/>
          <w:szCs w:val="24"/>
          <w:lang w:eastAsia="en-GB"/>
        </w:rPr>
        <w:t>The wetland states like New Jersey and Florida can adopt the waterproof perimeter walls around the sea. New York City has initiated a plan to build a $ 335 million flood wall in Manhattan, and this will lower the flooding from tides and storms.</w:t>
      </w:r>
      <w:r w:rsidR="00055D3A">
        <w:rPr>
          <w:rFonts w:ascii="Times New Roman" w:eastAsia="Times New Roman" w:hAnsi="Times New Roman" w:cs="Times New Roman"/>
          <w:color w:val="0E101A"/>
          <w:sz w:val="24"/>
          <w:szCs w:val="24"/>
          <w:lang w:eastAsia="en-GB"/>
        </w:rPr>
        <w:t xml:space="preserve"> </w:t>
      </w:r>
      <w:r w:rsidRPr="00A54C19">
        <w:rPr>
          <w:rFonts w:ascii="Times New Roman" w:eastAsia="Times New Roman" w:hAnsi="Times New Roman" w:cs="Times New Roman"/>
          <w:color w:val="0E101A"/>
          <w:sz w:val="24"/>
          <w:szCs w:val="24"/>
          <w:lang w:eastAsia="en-GB"/>
        </w:rPr>
        <w:t xml:space="preserve">The project is much costly but worth it in ensuring that essential industries like tourism are running progressively. </w:t>
      </w:r>
    </w:p>
    <w:p w14:paraId="5CCBA3A0" w14:textId="555524F5" w:rsidR="00B548D3" w:rsidRPr="00055D3A" w:rsidRDefault="00E01A5F" w:rsidP="00055D3A">
      <w:pPr>
        <w:spacing w:after="0" w:line="480" w:lineRule="auto"/>
        <w:ind w:firstLine="720"/>
        <w:rPr>
          <w:rFonts w:ascii="Times New Roman" w:eastAsia="Times New Roman" w:hAnsi="Times New Roman" w:cs="Times New Roman"/>
          <w:i/>
          <w:iCs/>
          <w:color w:val="0E101A"/>
          <w:sz w:val="24"/>
          <w:szCs w:val="24"/>
          <w:lang w:eastAsia="en-GB"/>
        </w:rPr>
      </w:pPr>
      <w:r w:rsidRPr="00A54C19">
        <w:rPr>
          <w:rFonts w:ascii="Times New Roman" w:eastAsia="Times New Roman" w:hAnsi="Times New Roman" w:cs="Times New Roman"/>
          <w:color w:val="0E101A"/>
          <w:sz w:val="24"/>
          <w:szCs w:val="24"/>
          <w:lang w:eastAsia="en-GB"/>
        </w:rPr>
        <w:t>Miami beach has a running project of raising the road by 2 feet (Sea Level Rise. Org, 2020). When the sea levels rise, transportation will still run normally. Transport and tourism industries are closely connected, and one cannot succeed without another.</w:t>
      </w:r>
    </w:p>
    <w:p w14:paraId="494C655A" w14:textId="32009E74"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Application of models in solving the problem</w:t>
      </w:r>
    </w:p>
    <w:p w14:paraId="12D90BE2"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SWOT analysis</w:t>
      </w:r>
    </w:p>
    <w:p w14:paraId="2BA99CF1" w14:textId="3F52056D"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SWOT analysis is applicable in helping firms to minimize taking advantage of the chance. Many companies that produce pollutants to the environment have outstanding strengths like skilled workers, value recognition, and focus on realising their set goals. </w:t>
      </w:r>
      <w:r w:rsidR="00E7691F">
        <w:rPr>
          <w:rFonts w:ascii="Times New Roman" w:eastAsia="Times New Roman" w:hAnsi="Times New Roman" w:cs="Times New Roman"/>
          <w:color w:val="0E101A"/>
          <w:sz w:val="24"/>
          <w:szCs w:val="24"/>
          <w:lang w:eastAsia="en-GB"/>
        </w:rPr>
        <w:t xml:space="preserve"> This has been clearly </w:t>
      </w:r>
      <w:r w:rsidR="00B55EBE">
        <w:rPr>
          <w:rFonts w:ascii="Times New Roman" w:eastAsia="Times New Roman" w:hAnsi="Times New Roman" w:cs="Times New Roman"/>
          <w:color w:val="0E101A"/>
          <w:sz w:val="24"/>
          <w:szCs w:val="24"/>
          <w:lang w:eastAsia="en-GB"/>
        </w:rPr>
        <w:t>illustrated</w:t>
      </w:r>
      <w:r w:rsidR="00E7691F">
        <w:rPr>
          <w:rFonts w:ascii="Times New Roman" w:eastAsia="Times New Roman" w:hAnsi="Times New Roman" w:cs="Times New Roman"/>
          <w:color w:val="0E101A"/>
          <w:sz w:val="24"/>
          <w:szCs w:val="24"/>
          <w:lang w:eastAsia="en-GB"/>
        </w:rPr>
        <w:t xml:space="preserve"> in Fig 1. </w:t>
      </w:r>
      <w:r w:rsidRPr="00A54C19">
        <w:rPr>
          <w:rFonts w:ascii="Times New Roman" w:eastAsia="Times New Roman" w:hAnsi="Times New Roman" w:cs="Times New Roman"/>
          <w:color w:val="0E101A"/>
          <w:sz w:val="24"/>
          <w:szCs w:val="24"/>
          <w:lang w:eastAsia="en-GB"/>
        </w:rPr>
        <w:t xml:space="preserve">The firms as well build good customer relationships. The primary weaknesses include focusing on addressing their goals and giving slight preference to the existing environmental issues. Some companies are never worried about the pollution they cause to the air, which is a primary weakness (Ajmera, 2017). In addition, other firms know how to take the existing opportunities for their benefit. For example, in some cases, the government is less concerned about confirming if the companies control pollution. This </w:t>
      </w:r>
      <w:r w:rsidRPr="00A54C19">
        <w:rPr>
          <w:rFonts w:ascii="Times New Roman" w:eastAsia="Times New Roman" w:hAnsi="Times New Roman" w:cs="Times New Roman"/>
          <w:color w:val="0E101A"/>
          <w:sz w:val="24"/>
          <w:szCs w:val="24"/>
          <w:lang w:eastAsia="en-GB"/>
        </w:rPr>
        <w:lastRenderedPageBreak/>
        <w:t>might turn out as an opportunity for some firms to discharge harmful wastes on the environment. The significant threats concerning companies and pollutions come when climate changes, rising sea levels, and reducing tourism activities (Ajmera, 2017). The firms need to identify such threats and act upon them as a method of controlling their operations. The changes in legal, political and social perspective might also affect the firm, which relies on tourists as their primary consumers.  </w:t>
      </w:r>
    </w:p>
    <w:p w14:paraId="24F69A1A"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STP Marketing model</w:t>
      </w:r>
    </w:p>
    <w:p w14:paraId="2382950A" w14:textId="177F3C9D"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STP marketing model emphasises on segmentation, targeting, and positioning of firms</w:t>
      </w:r>
      <w:r w:rsidR="00E7691F">
        <w:rPr>
          <w:rFonts w:ascii="Times New Roman" w:eastAsia="Times New Roman" w:hAnsi="Times New Roman" w:cs="Times New Roman"/>
          <w:color w:val="0E101A"/>
          <w:sz w:val="24"/>
          <w:szCs w:val="24"/>
          <w:lang w:eastAsia="en-GB"/>
        </w:rPr>
        <w:t xml:space="preserve"> and in Fig </w:t>
      </w:r>
      <w:r w:rsidR="00B55EBE">
        <w:rPr>
          <w:rFonts w:ascii="Times New Roman" w:eastAsia="Times New Roman" w:hAnsi="Times New Roman" w:cs="Times New Roman"/>
          <w:color w:val="0E101A"/>
          <w:sz w:val="24"/>
          <w:szCs w:val="24"/>
          <w:lang w:eastAsia="en-GB"/>
        </w:rPr>
        <w:t>3</w:t>
      </w:r>
      <w:r w:rsidR="00E7691F">
        <w:rPr>
          <w:rFonts w:ascii="Times New Roman" w:eastAsia="Times New Roman" w:hAnsi="Times New Roman" w:cs="Times New Roman"/>
          <w:color w:val="0E101A"/>
          <w:sz w:val="24"/>
          <w:szCs w:val="24"/>
          <w:lang w:eastAsia="en-GB"/>
        </w:rPr>
        <w:t xml:space="preserve">, the diagram clearly illustrates the model. </w:t>
      </w:r>
      <w:r w:rsidRPr="00A54C19">
        <w:rPr>
          <w:rFonts w:ascii="Times New Roman" w:eastAsia="Times New Roman" w:hAnsi="Times New Roman" w:cs="Times New Roman"/>
          <w:color w:val="0E101A"/>
          <w:sz w:val="24"/>
          <w:szCs w:val="24"/>
          <w:lang w:eastAsia="en-GB"/>
        </w:rPr>
        <w:t>In the segmentation phase, the primary focus issue is identifying groups of customers and dividing the market into identifiable and dissimilar segments (Shah et al., 2019). Targeting has to do with determining the group of customers to aims for in planning marketing strategies. Positioning determines the success of the companies, and it involves creating a concept that appeals to the target markets to occupy the most favourable places that will stick to the customers' mindset (Shah et al., 2019). The tourism industries of different countries can use this model to achieve competitive advantages over others. For example, the idea of Miami raising the roads to prevent disruption of transportation activities is a good one for winning more tourists over the other wetlands.   </w:t>
      </w:r>
    </w:p>
    <w:p w14:paraId="639C5FF2"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The riffle effects</w:t>
      </w:r>
    </w:p>
    <w:p w14:paraId="0119B36A" w14:textId="2A853B63"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ripple effect refers to the activity or action that disperses and affects other industries after its onset. This model suggests that when more focus is made on preventing pollution, the environment will become more attractive for people, and more income can be achieved (Dolgui et al., 2018). For example, when the industries worldwide control their pollution activities to the environment, other sectors will benefit maximally, like the tourism industry. There will be a few rising sea levels incidences, and the wetlands will remain stable. </w:t>
      </w:r>
      <w:r w:rsidRPr="00A54C19">
        <w:rPr>
          <w:rFonts w:ascii="Times New Roman" w:eastAsia="Times New Roman" w:hAnsi="Times New Roman" w:cs="Times New Roman"/>
          <w:color w:val="0E101A"/>
          <w:sz w:val="24"/>
          <w:szCs w:val="24"/>
          <w:lang w:eastAsia="en-GB"/>
        </w:rPr>
        <w:lastRenderedPageBreak/>
        <w:t>In return, more visitors will be present in an area like Florida and Miami beaches, generating revenue for the states. </w:t>
      </w:r>
      <w:r w:rsidR="00B55EBE">
        <w:rPr>
          <w:rFonts w:ascii="Times New Roman" w:eastAsia="Times New Roman" w:hAnsi="Times New Roman" w:cs="Times New Roman"/>
          <w:color w:val="0E101A"/>
          <w:sz w:val="24"/>
          <w:szCs w:val="24"/>
          <w:lang w:eastAsia="en-GB"/>
        </w:rPr>
        <w:t>This has been clearly illustrated in Fig 2.</w:t>
      </w:r>
    </w:p>
    <w:p w14:paraId="52049D95"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Advertisement</w:t>
      </w:r>
    </w:p>
    <w:p w14:paraId="161E4030" w14:textId="7BDCAD0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Florida Department of Environmental Protection (FDEP) regulates the wetland in collaboration with the United States Environmental Protection Agency (EPA). The two organizations are committed to ensuring the wetlands and maintained and all the species within the area, including humans, are protected. The FDEP is calling for public support to collect all the plastics around the wetlands to hinder the free interaction of the marine animals with their environment. In addition, EPA is much committed to ensuring that tourism activities run smoothly within the countries. The government agencies are taking actions towards pollution from the industries either in water or air. The actions being initiated to mitigate the over pollution is hiring include taking innovative ideas from the citizens on preventing pollutions. There are known air pollution technologies like cyclones, scrubbers, and electrostatic precipitators (ESP). The ESP is a </w:t>
      </w:r>
      <w:r w:rsidR="002767FD" w:rsidRPr="00A54C19">
        <w:rPr>
          <w:rFonts w:ascii="Times New Roman" w:eastAsia="Times New Roman" w:hAnsi="Times New Roman" w:cs="Times New Roman"/>
          <w:color w:val="0E101A"/>
          <w:sz w:val="24"/>
          <w:szCs w:val="24"/>
          <w:lang w:eastAsia="en-GB"/>
        </w:rPr>
        <w:t>filter less</w:t>
      </w:r>
      <w:r w:rsidRPr="00A54C19">
        <w:rPr>
          <w:rFonts w:ascii="Times New Roman" w:eastAsia="Times New Roman" w:hAnsi="Times New Roman" w:cs="Times New Roman"/>
          <w:color w:val="0E101A"/>
          <w:sz w:val="24"/>
          <w:szCs w:val="24"/>
          <w:lang w:eastAsia="en-GB"/>
        </w:rPr>
        <w:t xml:space="preserve"> device that traps and removes fine particles, including smoke, from flowing gas. Industries need to get the ESP and implement other advanced technologies for reducing pollution. This will, in turn, lead to reduced elevation of sea levels, and in turn, promote continual progress of tourist activities.  </w:t>
      </w:r>
    </w:p>
    <w:p w14:paraId="21913553"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Conclusion</w:t>
      </w:r>
    </w:p>
    <w:p w14:paraId="5AB77A5B"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Human activities are the primary causes of pollution in the environment. In the modern days, the effects of pollution are being experienced by the rising water levels that affect the wetlands like Florida. The entire ecosystem is endangered, and tourism activities are affected negatively. Thermal expansion and slowing gulf result in a rise in the sea levels. The impact is felt by disruption of tourist activities due to problems in transportation and coverage of the recreational beaches. Tourism is the leading revenue-generating sector in states like Florida. There is a need for public education on the possible ways of preventing </w:t>
      </w:r>
      <w:r w:rsidRPr="00A54C19">
        <w:rPr>
          <w:rFonts w:ascii="Times New Roman" w:eastAsia="Times New Roman" w:hAnsi="Times New Roman" w:cs="Times New Roman"/>
          <w:color w:val="0E101A"/>
          <w:sz w:val="24"/>
          <w:szCs w:val="24"/>
          <w:lang w:eastAsia="en-GB"/>
        </w:rPr>
        <w:lastRenderedPageBreak/>
        <w:t>pollution. To correct what has already gone wrong, the wetlands have buildings adaptable to the flooding conditions constructed. The building of seawalls and raising roads are solutions as well. The primary advertisement in this white paper is the policies of the Florida Department of Environmental Protection (FDEP) and the United States Environmental Protection Agency (EPA) committed to ensuring the effects of pollution are minimal and thus saving the tourism industry in the wetlands. </w:t>
      </w:r>
    </w:p>
    <w:p w14:paraId="5134E300" w14:textId="0153837B" w:rsidR="00A54C19" w:rsidRPr="00A54C19" w:rsidRDefault="00A54C19" w:rsidP="00A54C19">
      <w:pPr>
        <w:spacing w:line="480" w:lineRule="auto"/>
        <w:ind w:firstLine="720"/>
        <w:rPr>
          <w:rFonts w:ascii="Times New Roman" w:hAnsi="Times New Roman" w:cs="Times New Roman"/>
          <w:sz w:val="24"/>
          <w:szCs w:val="24"/>
        </w:rPr>
      </w:pPr>
    </w:p>
    <w:p w14:paraId="1537FBDF" w14:textId="77777777" w:rsidR="00B20781" w:rsidRDefault="00B20781" w:rsidP="00B20781">
      <w:pPr>
        <w:spacing w:line="480" w:lineRule="auto"/>
        <w:rPr>
          <w:rFonts w:ascii="Times New Roman" w:hAnsi="Times New Roman" w:cs="Times New Roman"/>
          <w:sz w:val="24"/>
          <w:szCs w:val="24"/>
        </w:rPr>
      </w:pPr>
    </w:p>
    <w:p w14:paraId="189143D0" w14:textId="77777777" w:rsidR="00B20781" w:rsidRDefault="00B20781" w:rsidP="00B20781">
      <w:pPr>
        <w:spacing w:line="480" w:lineRule="auto"/>
        <w:rPr>
          <w:rFonts w:ascii="Times New Roman" w:hAnsi="Times New Roman" w:cs="Times New Roman"/>
          <w:sz w:val="24"/>
          <w:szCs w:val="24"/>
        </w:rPr>
      </w:pPr>
    </w:p>
    <w:p w14:paraId="059C6CC7" w14:textId="77777777" w:rsidR="00B20781" w:rsidRDefault="00B20781" w:rsidP="00B20781">
      <w:pPr>
        <w:spacing w:line="480" w:lineRule="auto"/>
        <w:rPr>
          <w:rFonts w:ascii="Times New Roman" w:hAnsi="Times New Roman" w:cs="Times New Roman"/>
          <w:sz w:val="24"/>
          <w:szCs w:val="24"/>
        </w:rPr>
      </w:pPr>
    </w:p>
    <w:p w14:paraId="42AABFEF" w14:textId="77777777" w:rsidR="00B20781" w:rsidRDefault="00B20781" w:rsidP="00B20781">
      <w:pPr>
        <w:spacing w:line="480" w:lineRule="auto"/>
        <w:rPr>
          <w:rFonts w:ascii="Times New Roman" w:hAnsi="Times New Roman" w:cs="Times New Roman"/>
          <w:sz w:val="24"/>
          <w:szCs w:val="24"/>
        </w:rPr>
      </w:pPr>
    </w:p>
    <w:p w14:paraId="394B5995" w14:textId="2124CB22" w:rsidR="00B20781" w:rsidRDefault="00B20781" w:rsidP="00B20781">
      <w:pPr>
        <w:spacing w:line="480" w:lineRule="auto"/>
        <w:rPr>
          <w:rFonts w:ascii="Times New Roman" w:hAnsi="Times New Roman" w:cs="Times New Roman"/>
          <w:sz w:val="24"/>
          <w:szCs w:val="24"/>
        </w:rPr>
      </w:pPr>
    </w:p>
    <w:p w14:paraId="1B91A4C1" w14:textId="77777777" w:rsidR="00306CA1" w:rsidRDefault="00306CA1" w:rsidP="00B20781">
      <w:pPr>
        <w:spacing w:line="480" w:lineRule="auto"/>
        <w:rPr>
          <w:rFonts w:ascii="Times New Roman" w:hAnsi="Times New Roman" w:cs="Times New Roman"/>
          <w:sz w:val="24"/>
          <w:szCs w:val="24"/>
        </w:rPr>
      </w:pPr>
    </w:p>
    <w:p w14:paraId="0E3F823F" w14:textId="77777777" w:rsidR="00D31B67" w:rsidRDefault="00D31B67" w:rsidP="0079024D">
      <w:pPr>
        <w:spacing w:line="480" w:lineRule="auto"/>
        <w:jc w:val="center"/>
        <w:rPr>
          <w:rFonts w:ascii="Times New Roman" w:hAnsi="Times New Roman" w:cs="Times New Roman"/>
          <w:b/>
          <w:bCs/>
          <w:sz w:val="24"/>
          <w:szCs w:val="24"/>
        </w:rPr>
      </w:pPr>
    </w:p>
    <w:p w14:paraId="4FF27DD0" w14:textId="77777777" w:rsidR="00D31B67" w:rsidRDefault="00D31B67" w:rsidP="0079024D">
      <w:pPr>
        <w:spacing w:line="480" w:lineRule="auto"/>
        <w:jc w:val="center"/>
        <w:rPr>
          <w:rFonts w:ascii="Times New Roman" w:hAnsi="Times New Roman" w:cs="Times New Roman"/>
          <w:b/>
          <w:bCs/>
          <w:sz w:val="24"/>
          <w:szCs w:val="24"/>
        </w:rPr>
      </w:pPr>
    </w:p>
    <w:p w14:paraId="13CF9CB6" w14:textId="77777777" w:rsidR="00D31B67" w:rsidRDefault="00D31B67" w:rsidP="0079024D">
      <w:pPr>
        <w:spacing w:line="480" w:lineRule="auto"/>
        <w:jc w:val="center"/>
        <w:rPr>
          <w:rFonts w:ascii="Times New Roman" w:hAnsi="Times New Roman" w:cs="Times New Roman"/>
          <w:b/>
          <w:bCs/>
          <w:sz w:val="24"/>
          <w:szCs w:val="24"/>
        </w:rPr>
      </w:pPr>
    </w:p>
    <w:p w14:paraId="2039C4FA" w14:textId="77777777" w:rsidR="00D31B67" w:rsidRDefault="00D31B67" w:rsidP="0079024D">
      <w:pPr>
        <w:spacing w:line="480" w:lineRule="auto"/>
        <w:jc w:val="center"/>
        <w:rPr>
          <w:rFonts w:ascii="Times New Roman" w:hAnsi="Times New Roman" w:cs="Times New Roman"/>
          <w:b/>
          <w:bCs/>
          <w:sz w:val="24"/>
          <w:szCs w:val="24"/>
        </w:rPr>
      </w:pPr>
    </w:p>
    <w:p w14:paraId="22D21F47" w14:textId="77777777" w:rsidR="00D31B67" w:rsidRDefault="00D31B67" w:rsidP="0079024D">
      <w:pPr>
        <w:spacing w:line="480" w:lineRule="auto"/>
        <w:jc w:val="center"/>
        <w:rPr>
          <w:rFonts w:ascii="Times New Roman" w:hAnsi="Times New Roman" w:cs="Times New Roman"/>
          <w:b/>
          <w:bCs/>
          <w:sz w:val="24"/>
          <w:szCs w:val="24"/>
        </w:rPr>
      </w:pPr>
    </w:p>
    <w:p w14:paraId="032DD12C" w14:textId="77777777" w:rsidR="00D31B67" w:rsidRDefault="00D31B67" w:rsidP="0079024D">
      <w:pPr>
        <w:spacing w:line="480" w:lineRule="auto"/>
        <w:jc w:val="center"/>
        <w:rPr>
          <w:rFonts w:ascii="Times New Roman" w:hAnsi="Times New Roman" w:cs="Times New Roman"/>
          <w:b/>
          <w:bCs/>
          <w:sz w:val="24"/>
          <w:szCs w:val="24"/>
        </w:rPr>
      </w:pPr>
    </w:p>
    <w:p w14:paraId="0FC255F5" w14:textId="5BE6F2EE" w:rsidR="00D31B67" w:rsidRDefault="00D31B67" w:rsidP="0079024D">
      <w:pPr>
        <w:spacing w:line="480" w:lineRule="auto"/>
        <w:jc w:val="center"/>
        <w:rPr>
          <w:rFonts w:ascii="Times New Roman" w:hAnsi="Times New Roman" w:cs="Times New Roman"/>
          <w:b/>
          <w:bCs/>
          <w:sz w:val="24"/>
          <w:szCs w:val="24"/>
        </w:rPr>
      </w:pPr>
    </w:p>
    <w:p w14:paraId="46028B5F" w14:textId="77777777" w:rsidR="002767FD" w:rsidRDefault="002767FD" w:rsidP="0079024D">
      <w:pPr>
        <w:spacing w:line="480" w:lineRule="auto"/>
        <w:jc w:val="center"/>
        <w:rPr>
          <w:rFonts w:ascii="Times New Roman" w:hAnsi="Times New Roman" w:cs="Times New Roman"/>
          <w:b/>
          <w:bCs/>
          <w:sz w:val="24"/>
          <w:szCs w:val="24"/>
        </w:rPr>
      </w:pPr>
    </w:p>
    <w:p w14:paraId="6765A8AD" w14:textId="0FBE39F6" w:rsidR="0043514E" w:rsidRPr="00B20781" w:rsidRDefault="0043514E" w:rsidP="0079024D">
      <w:pPr>
        <w:spacing w:line="480" w:lineRule="auto"/>
        <w:jc w:val="center"/>
        <w:rPr>
          <w:rFonts w:ascii="Times New Roman" w:hAnsi="Times New Roman" w:cs="Times New Roman"/>
          <w:b/>
          <w:bCs/>
          <w:sz w:val="24"/>
          <w:szCs w:val="24"/>
        </w:rPr>
      </w:pPr>
      <w:r w:rsidRPr="00B20781">
        <w:rPr>
          <w:rFonts w:ascii="Times New Roman" w:hAnsi="Times New Roman" w:cs="Times New Roman"/>
          <w:b/>
          <w:bCs/>
          <w:sz w:val="24"/>
          <w:szCs w:val="24"/>
        </w:rPr>
        <w:lastRenderedPageBreak/>
        <w:t>References</w:t>
      </w:r>
    </w:p>
    <w:p w14:paraId="3583C999"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Ajmera, P. (2017). Ranking the strategies for Indian medical tourism sector through the integration of SWOT analysis and TOPSIS method. </w:t>
      </w:r>
      <w:r w:rsidRPr="00CC5AAD">
        <w:rPr>
          <w:rFonts w:ascii="Times New Roman" w:hAnsi="Times New Roman" w:cs="Times New Roman"/>
          <w:i/>
          <w:iCs/>
          <w:sz w:val="24"/>
          <w:szCs w:val="24"/>
          <w:shd w:val="clear" w:color="auto" w:fill="FFFFFF"/>
        </w:rPr>
        <w:t>International journal of health care quality assurance</w:t>
      </w:r>
      <w:r w:rsidRPr="00CC5AAD">
        <w:rPr>
          <w:rFonts w:ascii="Times New Roman" w:hAnsi="Times New Roman" w:cs="Times New Roman"/>
          <w:sz w:val="24"/>
          <w:szCs w:val="24"/>
          <w:shd w:val="clear" w:color="auto" w:fill="FFFFFF"/>
        </w:rPr>
        <w:t>.</w:t>
      </w:r>
    </w:p>
    <w:p w14:paraId="1BD9D15E"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Appannagari, R. R. (2017). Environmental pollution causes and consequences: a study. </w:t>
      </w:r>
      <w:r w:rsidRPr="00CC5AAD">
        <w:rPr>
          <w:rFonts w:ascii="Times New Roman" w:hAnsi="Times New Roman" w:cs="Times New Roman"/>
          <w:i/>
          <w:iCs/>
          <w:sz w:val="24"/>
          <w:szCs w:val="24"/>
          <w:shd w:val="clear" w:color="auto" w:fill="FFFFFF"/>
        </w:rPr>
        <w:t>North Asian International Research Journal of Social Science and Humanities</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3</w:t>
      </w:r>
      <w:r w:rsidRPr="00CC5AAD">
        <w:rPr>
          <w:rFonts w:ascii="Times New Roman" w:hAnsi="Times New Roman" w:cs="Times New Roman"/>
          <w:sz w:val="24"/>
          <w:szCs w:val="24"/>
          <w:shd w:val="clear" w:color="auto" w:fill="FFFFFF"/>
        </w:rPr>
        <w:t>(8), 151-161.</w:t>
      </w:r>
    </w:p>
    <w:p w14:paraId="0E41D460"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Davis, J. L., &amp; Vinogradova, N. T. (2017). Causes of accelerating sea level on the East Coast of North America. </w:t>
      </w:r>
      <w:r w:rsidRPr="00CC5AAD">
        <w:rPr>
          <w:rFonts w:ascii="Times New Roman" w:hAnsi="Times New Roman" w:cs="Times New Roman"/>
          <w:i/>
          <w:iCs/>
          <w:sz w:val="24"/>
          <w:szCs w:val="24"/>
          <w:shd w:val="clear" w:color="auto" w:fill="FFFFFF"/>
        </w:rPr>
        <w:t>Geophysical Research Letters</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44</w:t>
      </w:r>
      <w:r w:rsidRPr="00CC5AAD">
        <w:rPr>
          <w:rFonts w:ascii="Times New Roman" w:hAnsi="Times New Roman" w:cs="Times New Roman"/>
          <w:sz w:val="24"/>
          <w:szCs w:val="24"/>
          <w:shd w:val="clear" w:color="auto" w:fill="FFFFFF"/>
        </w:rPr>
        <w:t>(10), 5133-5141.</w:t>
      </w:r>
    </w:p>
    <w:p w14:paraId="0E7D1675"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Dolgui, A., Ivanov, D., &amp; Sokolov, B. (2018). Ripple effect in the supply chain: an analysis and recent literature. </w:t>
      </w:r>
      <w:r w:rsidRPr="00CC5AAD">
        <w:rPr>
          <w:rFonts w:ascii="Times New Roman" w:hAnsi="Times New Roman" w:cs="Times New Roman"/>
          <w:i/>
          <w:iCs/>
          <w:sz w:val="24"/>
          <w:szCs w:val="24"/>
          <w:shd w:val="clear" w:color="auto" w:fill="FFFFFF"/>
        </w:rPr>
        <w:t>International Journal of Production Research</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56</w:t>
      </w:r>
      <w:r w:rsidRPr="00CC5AAD">
        <w:rPr>
          <w:rFonts w:ascii="Times New Roman" w:hAnsi="Times New Roman" w:cs="Times New Roman"/>
          <w:sz w:val="24"/>
          <w:szCs w:val="24"/>
          <w:shd w:val="clear" w:color="auto" w:fill="FFFFFF"/>
        </w:rPr>
        <w:t>(1-2), 414-430.</w:t>
      </w:r>
    </w:p>
    <w:p w14:paraId="6FD34717"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Hao, Y., Niu, X., &amp; Wang, J. (2021). Impacts of haze pollution on China's tourism industry: A system of economic loss analysis. </w:t>
      </w:r>
      <w:r w:rsidRPr="00CC5AAD">
        <w:rPr>
          <w:rFonts w:ascii="Times New Roman" w:hAnsi="Times New Roman" w:cs="Times New Roman"/>
          <w:i/>
          <w:iCs/>
          <w:sz w:val="24"/>
          <w:szCs w:val="24"/>
          <w:shd w:val="clear" w:color="auto" w:fill="FFFFFF"/>
        </w:rPr>
        <w:t>Journal of Environmental Management</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295</w:t>
      </w:r>
      <w:r w:rsidRPr="00CC5AAD">
        <w:rPr>
          <w:rFonts w:ascii="Times New Roman" w:hAnsi="Times New Roman" w:cs="Times New Roman"/>
          <w:sz w:val="24"/>
          <w:szCs w:val="24"/>
          <w:shd w:val="clear" w:color="auto" w:fill="FFFFFF"/>
        </w:rPr>
        <w:t>, 113051.</w:t>
      </w:r>
    </w:p>
    <w:p w14:paraId="175B2D3A"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Rayner, D., Glamore, W., Grandquist, L., Ruprecht, J., Waddington, K., &amp; Khojasteh, D. (2021). Intertidal wetland vegetation dynamics under rising sea levels. </w:t>
      </w:r>
      <w:r w:rsidRPr="00CC5AAD">
        <w:rPr>
          <w:rFonts w:ascii="Times New Roman" w:hAnsi="Times New Roman" w:cs="Times New Roman"/>
          <w:i/>
          <w:iCs/>
          <w:sz w:val="24"/>
          <w:szCs w:val="24"/>
          <w:shd w:val="clear" w:color="auto" w:fill="FFFFFF"/>
        </w:rPr>
        <w:t>Science of The Total Environment</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766</w:t>
      </w:r>
      <w:r w:rsidRPr="00CC5AAD">
        <w:rPr>
          <w:rFonts w:ascii="Times New Roman" w:hAnsi="Times New Roman" w:cs="Times New Roman"/>
          <w:sz w:val="24"/>
          <w:szCs w:val="24"/>
          <w:shd w:val="clear" w:color="auto" w:fill="FFFFFF"/>
        </w:rPr>
        <w:t>, 144237.</w:t>
      </w:r>
    </w:p>
    <w:p w14:paraId="1FE2C4E4"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Sea Level Rise. Org. (2020). Rising Sea Levels solutions. Retrieved from </w:t>
      </w:r>
      <w:hyperlink r:id="rId7" w:history="1">
        <w:r w:rsidRPr="00CC5AAD">
          <w:rPr>
            <w:rStyle w:val="Hyperlink"/>
            <w:rFonts w:ascii="Times New Roman" w:hAnsi="Times New Roman" w:cs="Times New Roman"/>
            <w:color w:val="auto"/>
            <w:sz w:val="24"/>
            <w:szCs w:val="24"/>
            <w:u w:val="none"/>
            <w:shd w:val="clear" w:color="auto" w:fill="FFFFFF"/>
          </w:rPr>
          <w:t>https://sealevelrise.org/solutions/</w:t>
        </w:r>
      </w:hyperlink>
    </w:p>
    <w:p w14:paraId="59A828DB"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Shah, S. A., Azhar, S. M., &amp; Bhutto, N. A. (2019). Halal marketing: a marketing strategy perspective. </w:t>
      </w:r>
      <w:r w:rsidRPr="00CC5AAD">
        <w:rPr>
          <w:rFonts w:ascii="Times New Roman" w:hAnsi="Times New Roman" w:cs="Times New Roman"/>
          <w:i/>
          <w:iCs/>
          <w:sz w:val="24"/>
          <w:szCs w:val="24"/>
          <w:shd w:val="clear" w:color="auto" w:fill="FFFFFF"/>
        </w:rPr>
        <w:t>Journal of Islamic Marketing</w:t>
      </w:r>
      <w:r w:rsidRPr="00CC5AAD">
        <w:rPr>
          <w:rFonts w:ascii="Times New Roman" w:hAnsi="Times New Roman" w:cs="Times New Roman"/>
          <w:sz w:val="24"/>
          <w:szCs w:val="24"/>
          <w:shd w:val="clear" w:color="auto" w:fill="FFFFFF"/>
        </w:rPr>
        <w:t>.</w:t>
      </w:r>
    </w:p>
    <w:p w14:paraId="589650D0" w14:textId="77777777" w:rsidR="00033413"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lastRenderedPageBreak/>
        <w:t>Tang, J., Yuan, X., Ramos, V., &amp; Sriboonchitta, S. (2019). Does air pollution decrease inbound tourist arrivals? The case of Beijing. </w:t>
      </w:r>
      <w:r w:rsidRPr="00CC5AAD">
        <w:rPr>
          <w:rFonts w:ascii="Times New Roman" w:hAnsi="Times New Roman" w:cs="Times New Roman"/>
          <w:i/>
          <w:iCs/>
          <w:sz w:val="24"/>
          <w:szCs w:val="24"/>
          <w:shd w:val="clear" w:color="auto" w:fill="FFFFFF"/>
        </w:rPr>
        <w:t>Asia Pacific Journal of Tourism Research</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24</w:t>
      </w:r>
      <w:r w:rsidRPr="00CC5AAD">
        <w:rPr>
          <w:rFonts w:ascii="Times New Roman" w:hAnsi="Times New Roman" w:cs="Times New Roman"/>
          <w:sz w:val="24"/>
          <w:szCs w:val="24"/>
          <w:shd w:val="clear" w:color="auto" w:fill="FFFFFF"/>
        </w:rPr>
        <w:t>(6), 597-605</w:t>
      </w:r>
    </w:p>
    <w:p w14:paraId="3E1FF1B9" w14:textId="77777777" w:rsidR="00033413" w:rsidRDefault="00033413" w:rsidP="00CC5AAD">
      <w:pPr>
        <w:spacing w:line="480" w:lineRule="auto"/>
        <w:ind w:left="720" w:hanging="720"/>
        <w:rPr>
          <w:rFonts w:ascii="Times New Roman" w:hAnsi="Times New Roman" w:cs="Times New Roman"/>
          <w:sz w:val="24"/>
          <w:szCs w:val="24"/>
          <w:shd w:val="clear" w:color="auto" w:fill="FFFFFF"/>
        </w:rPr>
      </w:pPr>
    </w:p>
    <w:p w14:paraId="288B4A73" w14:textId="77777777" w:rsidR="00033413" w:rsidRDefault="00033413" w:rsidP="00CC5AAD">
      <w:pPr>
        <w:spacing w:line="480" w:lineRule="auto"/>
        <w:ind w:left="720" w:hanging="720"/>
        <w:rPr>
          <w:rFonts w:ascii="Times New Roman" w:hAnsi="Times New Roman" w:cs="Times New Roman"/>
          <w:sz w:val="24"/>
          <w:szCs w:val="24"/>
          <w:shd w:val="clear" w:color="auto" w:fill="FFFFFF"/>
        </w:rPr>
      </w:pPr>
    </w:p>
    <w:p w14:paraId="492A285E" w14:textId="77777777" w:rsidR="00033413" w:rsidRDefault="00033413" w:rsidP="00CC5AAD">
      <w:pPr>
        <w:spacing w:line="480" w:lineRule="auto"/>
        <w:ind w:left="720" w:hanging="720"/>
        <w:rPr>
          <w:rFonts w:ascii="Times New Roman" w:hAnsi="Times New Roman" w:cs="Times New Roman"/>
          <w:sz w:val="24"/>
          <w:szCs w:val="24"/>
          <w:shd w:val="clear" w:color="auto" w:fill="FFFFFF"/>
        </w:rPr>
      </w:pPr>
    </w:p>
    <w:p w14:paraId="5FA67019" w14:textId="77777777" w:rsidR="00033413" w:rsidRDefault="00033413" w:rsidP="00CC5AAD">
      <w:pPr>
        <w:spacing w:line="480" w:lineRule="auto"/>
        <w:ind w:left="720" w:hanging="720"/>
        <w:rPr>
          <w:rFonts w:ascii="Times New Roman" w:hAnsi="Times New Roman" w:cs="Times New Roman"/>
          <w:sz w:val="24"/>
          <w:szCs w:val="24"/>
          <w:shd w:val="clear" w:color="auto" w:fill="FFFFFF"/>
        </w:rPr>
      </w:pPr>
    </w:p>
    <w:p w14:paraId="23344515" w14:textId="0261D9DD"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w:t>
      </w:r>
      <w:r w:rsidR="00033413">
        <w:rPr>
          <w:rFonts w:ascii="Times New Roman" w:hAnsi="Times New Roman" w:cs="Times New Roman"/>
          <w:sz w:val="24"/>
          <w:szCs w:val="24"/>
          <w:shd w:val="clear" w:color="auto" w:fill="FFFFFF"/>
        </w:rPr>
        <w:t xml:space="preserve"> </w:t>
      </w:r>
      <w:r w:rsidR="00033413" w:rsidRPr="00033413">
        <w:rPr>
          <w:shd w:val="clear" w:color="auto" w:fill="FFFFFF"/>
        </w:rPr>
        <w:t xml:space="preserve">  </w:t>
      </w:r>
    </w:p>
    <w:p w14:paraId="4D755AA4"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1F2BAC8C"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0405192C"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62564DEA"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7AE96B1A"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192C8CDA"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54332FE7"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7F005A1E"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28FBA466"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6FFF04AF"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7A95EDE7"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4FDB0E13" w14:textId="77777777" w:rsidR="004A28ED" w:rsidRDefault="004A28ED" w:rsidP="000A4605">
      <w:pPr>
        <w:spacing w:line="480" w:lineRule="auto"/>
        <w:jc w:val="center"/>
        <w:rPr>
          <w:rFonts w:ascii="Times New Roman" w:hAnsi="Times New Roman" w:cs="Times New Roman"/>
          <w:b/>
          <w:bCs/>
          <w:color w:val="222222"/>
          <w:sz w:val="24"/>
          <w:szCs w:val="24"/>
          <w:shd w:val="clear" w:color="auto" w:fill="FFFFFF"/>
        </w:rPr>
      </w:pPr>
    </w:p>
    <w:p w14:paraId="0EDA80B5" w14:textId="64D4B971" w:rsidR="00055D3A" w:rsidRPr="000A4605" w:rsidRDefault="00136CD4" w:rsidP="000A4605">
      <w:pPr>
        <w:spacing w:line="480" w:lineRule="auto"/>
        <w:jc w:val="center"/>
        <w:rPr>
          <w:rFonts w:ascii="Times New Roman" w:hAnsi="Times New Roman" w:cs="Times New Roman"/>
          <w:b/>
          <w:bCs/>
          <w:color w:val="222222"/>
          <w:sz w:val="24"/>
          <w:szCs w:val="24"/>
          <w:shd w:val="clear" w:color="auto" w:fill="FFFFFF"/>
        </w:rPr>
      </w:pPr>
      <w:r w:rsidRPr="00136CD4">
        <w:rPr>
          <w:rFonts w:ascii="Times New Roman" w:hAnsi="Times New Roman" w:cs="Times New Roman"/>
          <w:b/>
          <w:bCs/>
          <w:color w:val="222222"/>
          <w:sz w:val="24"/>
          <w:szCs w:val="24"/>
          <w:shd w:val="clear" w:color="auto" w:fill="FFFFFF"/>
        </w:rPr>
        <w:lastRenderedPageBreak/>
        <w:t>Appendices</w:t>
      </w:r>
    </w:p>
    <w:p w14:paraId="140782AF" w14:textId="6B81555C" w:rsidR="00055D3A" w:rsidRDefault="00055D3A" w:rsidP="00055D3A">
      <w:pPr>
        <w:spacing w:after="0" w:line="480" w:lineRule="auto"/>
        <w:ind w:firstLine="720"/>
        <w:rPr>
          <w:rFonts w:ascii="Times New Roman" w:eastAsia="Times New Roman" w:hAnsi="Times New Roman" w:cs="Times New Roman"/>
          <w:i/>
          <w:iCs/>
          <w:color w:val="0E101A"/>
          <w:sz w:val="24"/>
          <w:szCs w:val="24"/>
          <w:lang w:eastAsia="en-GB"/>
        </w:rPr>
      </w:pPr>
    </w:p>
    <w:p w14:paraId="7F2D3AAD" w14:textId="3A9C0278" w:rsidR="00055D3A" w:rsidRDefault="001E593E" w:rsidP="00055D3A">
      <w:pPr>
        <w:spacing w:after="0" w:line="480" w:lineRule="auto"/>
        <w:ind w:firstLine="720"/>
        <w:rPr>
          <w:rFonts w:ascii="Times New Roman" w:eastAsia="Times New Roman" w:hAnsi="Times New Roman" w:cs="Times New Roman"/>
          <w:i/>
          <w:iCs/>
          <w:color w:val="0E101A"/>
          <w:sz w:val="24"/>
          <w:szCs w:val="24"/>
          <w:lang w:eastAsia="en-GB"/>
        </w:rPr>
      </w:pPr>
      <w:bookmarkStart w:id="1" w:name="_GoBack"/>
      <w:bookmarkEnd w:id="1"/>
      <w:r>
        <w:rPr>
          <w:rFonts w:ascii="Times New Roman" w:eastAsia="Times New Roman" w:hAnsi="Times New Roman" w:cs="Times New Roman"/>
          <w:i/>
          <w:iCs/>
          <w:noProof/>
          <w:color w:val="0E101A"/>
          <w:sz w:val="24"/>
          <w:szCs w:val="24"/>
          <w:lang w:val="en-US"/>
        </w:rPr>
        <w:drawing>
          <wp:inline distT="0" distB="0" distL="0" distR="0" wp14:anchorId="29A8405E" wp14:editId="4A6404F5">
            <wp:extent cx="5899150" cy="363855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E1775D0" w14:textId="5485A6BA" w:rsidR="000A4605" w:rsidRDefault="000A4605" w:rsidP="000A4605">
      <w:pPr>
        <w:spacing w:after="0" w:line="480" w:lineRule="auto"/>
        <w:ind w:firstLine="720"/>
        <w:jc w:val="center"/>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t>Fig 1: SWOT analysis model</w:t>
      </w:r>
    </w:p>
    <w:p w14:paraId="3B591EA3" w14:textId="64F9312C" w:rsidR="000F74BB" w:rsidRDefault="000F74BB" w:rsidP="00055D3A">
      <w:pPr>
        <w:spacing w:after="0" w:line="480" w:lineRule="auto"/>
        <w:ind w:firstLine="720"/>
        <w:rPr>
          <w:rFonts w:ascii="Times New Roman" w:eastAsia="Times New Roman" w:hAnsi="Times New Roman" w:cs="Times New Roman"/>
          <w:i/>
          <w:iCs/>
          <w:color w:val="0E101A"/>
          <w:sz w:val="24"/>
          <w:szCs w:val="24"/>
          <w:lang w:eastAsia="en-GB"/>
        </w:rPr>
      </w:pPr>
    </w:p>
    <w:p w14:paraId="46E05CA5" w14:textId="7028E0EA" w:rsidR="000F74BB" w:rsidRDefault="000F74BB"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noProof/>
          <w:color w:val="0E101A"/>
          <w:sz w:val="24"/>
          <w:szCs w:val="24"/>
          <w:lang w:val="en-US"/>
        </w:rPr>
        <w:drawing>
          <wp:inline distT="0" distB="0" distL="0" distR="0" wp14:anchorId="3630FE6C" wp14:editId="53218629">
            <wp:extent cx="6070600" cy="3314700"/>
            <wp:effectExtent l="0" t="95250" r="0" b="1143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B495E67" w14:textId="5B7F6A82" w:rsidR="001E593E" w:rsidRDefault="00FC7B11"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lastRenderedPageBreak/>
        <w:t>Fig 2: The Riffle effect</w:t>
      </w:r>
    </w:p>
    <w:p w14:paraId="24EC3B31" w14:textId="321083B3" w:rsidR="001E593E" w:rsidRDefault="001E593E" w:rsidP="00055D3A">
      <w:pPr>
        <w:spacing w:after="0" w:line="480" w:lineRule="auto"/>
        <w:ind w:firstLine="720"/>
        <w:rPr>
          <w:rFonts w:ascii="Times New Roman" w:eastAsia="Times New Roman" w:hAnsi="Times New Roman" w:cs="Times New Roman"/>
          <w:i/>
          <w:iCs/>
          <w:color w:val="0E101A"/>
          <w:sz w:val="24"/>
          <w:szCs w:val="24"/>
          <w:lang w:eastAsia="en-GB"/>
        </w:rPr>
      </w:pPr>
    </w:p>
    <w:p w14:paraId="3E992F69" w14:textId="02D0D008" w:rsidR="007B5DA0" w:rsidRDefault="007B5DA0"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noProof/>
          <w:color w:val="0E101A"/>
          <w:sz w:val="24"/>
          <w:szCs w:val="24"/>
          <w:lang w:val="en-US"/>
        </w:rPr>
        <w:drawing>
          <wp:inline distT="0" distB="0" distL="0" distR="0" wp14:anchorId="1FC97795" wp14:editId="6712A40A">
            <wp:extent cx="5486400" cy="3200400"/>
            <wp:effectExtent l="0" t="1905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A5D4A2A" w14:textId="5A81D37E" w:rsidR="001E593E" w:rsidRDefault="001E593E"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noProof/>
          <w:color w:val="0E101A"/>
          <w:sz w:val="24"/>
          <w:szCs w:val="24"/>
          <w:lang w:val="en-US"/>
        </w:rPr>
        <w:drawing>
          <wp:inline distT="0" distB="0" distL="0" distR="0" wp14:anchorId="0A707892" wp14:editId="47A22273">
            <wp:extent cx="45719" cy="114300"/>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19B5CC5" w14:textId="3947BFCA" w:rsidR="000A4605" w:rsidRPr="00A54C19" w:rsidRDefault="000A4605"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t>Fig 3: STP model.</w:t>
      </w:r>
    </w:p>
    <w:p w14:paraId="63016927" w14:textId="095344C4" w:rsidR="00137A87" w:rsidRPr="00A54C19" w:rsidRDefault="00137A87" w:rsidP="00A54C19">
      <w:pPr>
        <w:spacing w:line="480" w:lineRule="auto"/>
        <w:ind w:firstLine="720"/>
        <w:rPr>
          <w:rFonts w:ascii="Times New Roman" w:hAnsi="Times New Roman" w:cs="Times New Roman"/>
          <w:sz w:val="24"/>
          <w:szCs w:val="24"/>
        </w:rPr>
      </w:pPr>
    </w:p>
    <w:sectPr w:rsidR="00137A87" w:rsidRPr="00A54C19">
      <w:head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B6B0D" w14:textId="77777777" w:rsidR="00917D86" w:rsidRDefault="00917D86" w:rsidP="000677AE">
      <w:pPr>
        <w:spacing w:after="0" w:line="240" w:lineRule="auto"/>
      </w:pPr>
      <w:r>
        <w:separator/>
      </w:r>
    </w:p>
  </w:endnote>
  <w:endnote w:type="continuationSeparator" w:id="0">
    <w:p w14:paraId="1FA82797" w14:textId="77777777" w:rsidR="00917D86" w:rsidRDefault="00917D86" w:rsidP="00067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ADA303" w14:textId="77777777" w:rsidR="00917D86" w:rsidRDefault="00917D86" w:rsidP="000677AE">
      <w:pPr>
        <w:spacing w:after="0" w:line="240" w:lineRule="auto"/>
      </w:pPr>
      <w:r>
        <w:separator/>
      </w:r>
    </w:p>
  </w:footnote>
  <w:footnote w:type="continuationSeparator" w:id="0">
    <w:p w14:paraId="7DD9A010" w14:textId="77777777" w:rsidR="00917D86" w:rsidRDefault="00917D86" w:rsidP="000677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4489107"/>
      <w:docPartObj>
        <w:docPartGallery w:val="Page Numbers (Top of Page)"/>
        <w:docPartUnique/>
      </w:docPartObj>
    </w:sdtPr>
    <w:sdtEndPr>
      <w:rPr>
        <w:noProof/>
      </w:rPr>
    </w:sdtEndPr>
    <w:sdtContent>
      <w:p w14:paraId="4D3EDE9B" w14:textId="04F4EF25" w:rsidR="00CF6CC3" w:rsidRPr="000677AE" w:rsidRDefault="00CF6CC3">
        <w:pPr>
          <w:pStyle w:val="Header"/>
          <w:jc w:val="right"/>
          <w:rPr>
            <w:rFonts w:ascii="Times New Roman" w:hAnsi="Times New Roman" w:cs="Times New Roman"/>
            <w:sz w:val="24"/>
            <w:szCs w:val="24"/>
          </w:rPr>
        </w:pPr>
        <w:r w:rsidRPr="000677AE">
          <w:rPr>
            <w:rFonts w:ascii="Times New Roman" w:hAnsi="Times New Roman" w:cs="Times New Roman"/>
            <w:sz w:val="24"/>
            <w:szCs w:val="24"/>
          </w:rPr>
          <w:fldChar w:fldCharType="begin"/>
        </w:r>
        <w:r w:rsidRPr="000677AE">
          <w:rPr>
            <w:rFonts w:ascii="Times New Roman" w:hAnsi="Times New Roman" w:cs="Times New Roman"/>
            <w:sz w:val="24"/>
            <w:szCs w:val="24"/>
          </w:rPr>
          <w:instrText xml:space="preserve"> PAGE   \* MERGEFORMAT </w:instrText>
        </w:r>
        <w:r w:rsidRPr="000677AE">
          <w:rPr>
            <w:rFonts w:ascii="Times New Roman" w:hAnsi="Times New Roman" w:cs="Times New Roman"/>
            <w:sz w:val="24"/>
            <w:szCs w:val="24"/>
          </w:rPr>
          <w:fldChar w:fldCharType="separate"/>
        </w:r>
        <w:r w:rsidR="00DE0459">
          <w:rPr>
            <w:rFonts w:ascii="Times New Roman" w:hAnsi="Times New Roman" w:cs="Times New Roman"/>
            <w:noProof/>
            <w:sz w:val="24"/>
            <w:szCs w:val="24"/>
          </w:rPr>
          <w:t>12</w:t>
        </w:r>
        <w:r w:rsidRPr="000677AE">
          <w:rPr>
            <w:rFonts w:ascii="Times New Roman" w:hAnsi="Times New Roman" w:cs="Times New Roman"/>
            <w:noProof/>
            <w:sz w:val="24"/>
            <w:szCs w:val="24"/>
          </w:rPr>
          <w:fldChar w:fldCharType="end"/>
        </w:r>
      </w:p>
    </w:sdtContent>
  </w:sdt>
  <w:p w14:paraId="4D7CDD14" w14:textId="77777777" w:rsidR="00CF6CC3" w:rsidRPr="000677AE" w:rsidRDefault="00CF6CC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56A49"/>
    <w:multiLevelType w:val="hybridMultilevel"/>
    <w:tmpl w:val="982EB972"/>
    <w:lvl w:ilvl="0" w:tplc="E208011A">
      <w:start w:val="1"/>
      <w:numFmt w:val="lowerLetter"/>
      <w:lvlText w:val="%1."/>
      <w:lvlJc w:val="left"/>
      <w:pPr>
        <w:ind w:left="643" w:hanging="360"/>
      </w:pPr>
      <w:rPr>
        <w:rFonts w:hint="default"/>
        <w:b w:val="0"/>
        <w:bCs/>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nsid w:val="12F45F9D"/>
    <w:multiLevelType w:val="hybridMultilevel"/>
    <w:tmpl w:val="13E484CA"/>
    <w:lvl w:ilvl="0" w:tplc="7EEA36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3C61DD8"/>
    <w:multiLevelType w:val="hybridMultilevel"/>
    <w:tmpl w:val="D1589AD0"/>
    <w:lvl w:ilvl="0" w:tplc="6DD04B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DA310C3"/>
    <w:multiLevelType w:val="multilevel"/>
    <w:tmpl w:val="9814D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B661AA"/>
    <w:multiLevelType w:val="hybridMultilevel"/>
    <w:tmpl w:val="9564BBA6"/>
    <w:lvl w:ilvl="0" w:tplc="8C147B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B7876CA"/>
    <w:multiLevelType w:val="hybridMultilevel"/>
    <w:tmpl w:val="FC7A7BC0"/>
    <w:lvl w:ilvl="0" w:tplc="7FD478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D72492A"/>
    <w:multiLevelType w:val="multilevel"/>
    <w:tmpl w:val="2B689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A45A06"/>
    <w:multiLevelType w:val="multilevel"/>
    <w:tmpl w:val="CC6CC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111421"/>
    <w:multiLevelType w:val="multilevel"/>
    <w:tmpl w:val="CAB0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0525E8"/>
    <w:multiLevelType w:val="multilevel"/>
    <w:tmpl w:val="FC42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E85320F"/>
    <w:multiLevelType w:val="hybridMultilevel"/>
    <w:tmpl w:val="4C6AE13E"/>
    <w:lvl w:ilvl="0" w:tplc="8DE85E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A3E06"/>
    <w:multiLevelType w:val="hybridMultilevel"/>
    <w:tmpl w:val="4D3697D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FDD4CD4"/>
    <w:multiLevelType w:val="hybridMultilevel"/>
    <w:tmpl w:val="87C890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6EA4377"/>
    <w:multiLevelType w:val="multilevel"/>
    <w:tmpl w:val="F9108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247E92"/>
    <w:multiLevelType w:val="multilevel"/>
    <w:tmpl w:val="187E2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A82408"/>
    <w:multiLevelType w:val="multilevel"/>
    <w:tmpl w:val="16228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F0E2248"/>
    <w:multiLevelType w:val="hybridMultilevel"/>
    <w:tmpl w:val="0AB2B3CE"/>
    <w:lvl w:ilvl="0" w:tplc="5C4A141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12"/>
  </w:num>
  <w:num w:numId="6">
    <w:abstractNumId w:val="8"/>
  </w:num>
  <w:num w:numId="7">
    <w:abstractNumId w:val="13"/>
  </w:num>
  <w:num w:numId="8">
    <w:abstractNumId w:val="7"/>
  </w:num>
  <w:num w:numId="9">
    <w:abstractNumId w:val="9"/>
  </w:num>
  <w:num w:numId="10">
    <w:abstractNumId w:val="14"/>
  </w:num>
  <w:num w:numId="11">
    <w:abstractNumId w:val="15"/>
  </w:num>
  <w:num w:numId="12">
    <w:abstractNumId w:val="6"/>
  </w:num>
  <w:num w:numId="13">
    <w:abstractNumId w:val="3"/>
  </w:num>
  <w:num w:numId="14">
    <w:abstractNumId w:val="10"/>
  </w:num>
  <w:num w:numId="15">
    <w:abstractNumId w:val="0"/>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7AE"/>
    <w:rsid w:val="0002205B"/>
    <w:rsid w:val="00026431"/>
    <w:rsid w:val="00033413"/>
    <w:rsid w:val="00055D3A"/>
    <w:rsid w:val="000677AE"/>
    <w:rsid w:val="00094443"/>
    <w:rsid w:val="000A4605"/>
    <w:rsid w:val="000F74BB"/>
    <w:rsid w:val="00112333"/>
    <w:rsid w:val="00122E8C"/>
    <w:rsid w:val="00132A90"/>
    <w:rsid w:val="00132BBC"/>
    <w:rsid w:val="00136CD4"/>
    <w:rsid w:val="00137A87"/>
    <w:rsid w:val="001519D7"/>
    <w:rsid w:val="001528D2"/>
    <w:rsid w:val="0018102D"/>
    <w:rsid w:val="001E02B5"/>
    <w:rsid w:val="001E593E"/>
    <w:rsid w:val="0025075B"/>
    <w:rsid w:val="00275ACD"/>
    <w:rsid w:val="002767FD"/>
    <w:rsid w:val="002A64C2"/>
    <w:rsid w:val="002C60B0"/>
    <w:rsid w:val="002C7805"/>
    <w:rsid w:val="002E5987"/>
    <w:rsid w:val="00305878"/>
    <w:rsid w:val="00306CA1"/>
    <w:rsid w:val="00362050"/>
    <w:rsid w:val="003D3BC4"/>
    <w:rsid w:val="003F5306"/>
    <w:rsid w:val="00402FF6"/>
    <w:rsid w:val="00426DC4"/>
    <w:rsid w:val="0043514E"/>
    <w:rsid w:val="00447F48"/>
    <w:rsid w:val="0045446F"/>
    <w:rsid w:val="004733B4"/>
    <w:rsid w:val="004A2044"/>
    <w:rsid w:val="004A28ED"/>
    <w:rsid w:val="004B25C0"/>
    <w:rsid w:val="004C44C8"/>
    <w:rsid w:val="004E4D91"/>
    <w:rsid w:val="00506679"/>
    <w:rsid w:val="0053566E"/>
    <w:rsid w:val="00546299"/>
    <w:rsid w:val="0056188F"/>
    <w:rsid w:val="0056700E"/>
    <w:rsid w:val="00575A74"/>
    <w:rsid w:val="005E1271"/>
    <w:rsid w:val="005E1879"/>
    <w:rsid w:val="0065576F"/>
    <w:rsid w:val="006632D5"/>
    <w:rsid w:val="00670107"/>
    <w:rsid w:val="00741637"/>
    <w:rsid w:val="0075460B"/>
    <w:rsid w:val="00775CA3"/>
    <w:rsid w:val="0079024D"/>
    <w:rsid w:val="007B5DA0"/>
    <w:rsid w:val="007C5B05"/>
    <w:rsid w:val="007D768F"/>
    <w:rsid w:val="00811A99"/>
    <w:rsid w:val="00831341"/>
    <w:rsid w:val="00895AAA"/>
    <w:rsid w:val="008B66F2"/>
    <w:rsid w:val="008E4822"/>
    <w:rsid w:val="008F1AF9"/>
    <w:rsid w:val="008F4EC7"/>
    <w:rsid w:val="00917D86"/>
    <w:rsid w:val="009919B5"/>
    <w:rsid w:val="009951DD"/>
    <w:rsid w:val="009C3C0C"/>
    <w:rsid w:val="00A20372"/>
    <w:rsid w:val="00A256D5"/>
    <w:rsid w:val="00A54C19"/>
    <w:rsid w:val="00A8765A"/>
    <w:rsid w:val="00A93896"/>
    <w:rsid w:val="00A93E10"/>
    <w:rsid w:val="00AB6219"/>
    <w:rsid w:val="00AE60FB"/>
    <w:rsid w:val="00AE67AD"/>
    <w:rsid w:val="00B1232F"/>
    <w:rsid w:val="00B20781"/>
    <w:rsid w:val="00B41D85"/>
    <w:rsid w:val="00B548D3"/>
    <w:rsid w:val="00B54CE8"/>
    <w:rsid w:val="00B55EBE"/>
    <w:rsid w:val="00B717A2"/>
    <w:rsid w:val="00B86E05"/>
    <w:rsid w:val="00B86EF4"/>
    <w:rsid w:val="00BB5438"/>
    <w:rsid w:val="00BE0639"/>
    <w:rsid w:val="00BE1E22"/>
    <w:rsid w:val="00C03AB4"/>
    <w:rsid w:val="00C36DCA"/>
    <w:rsid w:val="00C52048"/>
    <w:rsid w:val="00C65EB2"/>
    <w:rsid w:val="00CC5774"/>
    <w:rsid w:val="00CC5AAD"/>
    <w:rsid w:val="00CD37FD"/>
    <w:rsid w:val="00CF6CC3"/>
    <w:rsid w:val="00D31B67"/>
    <w:rsid w:val="00D5623E"/>
    <w:rsid w:val="00D648FE"/>
    <w:rsid w:val="00D64FEE"/>
    <w:rsid w:val="00DA38DA"/>
    <w:rsid w:val="00DE0459"/>
    <w:rsid w:val="00E01A5F"/>
    <w:rsid w:val="00E07E03"/>
    <w:rsid w:val="00E1577C"/>
    <w:rsid w:val="00E43F4D"/>
    <w:rsid w:val="00E61224"/>
    <w:rsid w:val="00E66160"/>
    <w:rsid w:val="00E7691F"/>
    <w:rsid w:val="00E93327"/>
    <w:rsid w:val="00EB0E39"/>
    <w:rsid w:val="00EF63B5"/>
    <w:rsid w:val="00F34281"/>
    <w:rsid w:val="00F64160"/>
    <w:rsid w:val="00F8724B"/>
    <w:rsid w:val="00FB17DB"/>
    <w:rsid w:val="00FC7B11"/>
    <w:rsid w:val="00FE6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D4B0"/>
  <w15:chartTrackingRefBased/>
  <w15:docId w15:val="{61B44299-DA81-41C5-AE31-68504AA9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7AE"/>
  </w:style>
  <w:style w:type="paragraph" w:styleId="Footer">
    <w:name w:val="footer"/>
    <w:basedOn w:val="Normal"/>
    <w:link w:val="FooterChar"/>
    <w:uiPriority w:val="99"/>
    <w:unhideWhenUsed/>
    <w:rsid w:val="00067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7AE"/>
  </w:style>
  <w:style w:type="paragraph" w:styleId="ListParagraph">
    <w:name w:val="List Paragraph"/>
    <w:basedOn w:val="Normal"/>
    <w:uiPriority w:val="34"/>
    <w:qFormat/>
    <w:rsid w:val="003F5306"/>
    <w:pPr>
      <w:ind w:left="720"/>
      <w:contextualSpacing/>
    </w:pPr>
  </w:style>
  <w:style w:type="character" w:styleId="Hyperlink">
    <w:name w:val="Hyperlink"/>
    <w:basedOn w:val="DefaultParagraphFont"/>
    <w:uiPriority w:val="99"/>
    <w:unhideWhenUsed/>
    <w:rsid w:val="00811A99"/>
    <w:rPr>
      <w:color w:val="0563C1" w:themeColor="hyperlink"/>
      <w:u w:val="single"/>
    </w:rPr>
  </w:style>
  <w:style w:type="character" w:customStyle="1" w:styleId="UnresolvedMention">
    <w:name w:val="Unresolved Mention"/>
    <w:basedOn w:val="DefaultParagraphFont"/>
    <w:uiPriority w:val="99"/>
    <w:semiHidden/>
    <w:unhideWhenUsed/>
    <w:rsid w:val="00811A99"/>
    <w:rPr>
      <w:color w:val="605E5C"/>
      <w:shd w:val="clear" w:color="auto" w:fill="E1DFDD"/>
    </w:rPr>
  </w:style>
  <w:style w:type="paragraph" w:styleId="NormalWeb">
    <w:name w:val="Normal (Web)"/>
    <w:basedOn w:val="Normal"/>
    <w:uiPriority w:val="99"/>
    <w:semiHidden/>
    <w:unhideWhenUsed/>
    <w:rsid w:val="00A54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4C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78716">
      <w:bodyDiv w:val="1"/>
      <w:marLeft w:val="0"/>
      <w:marRight w:val="0"/>
      <w:marTop w:val="0"/>
      <w:marBottom w:val="0"/>
      <w:divBdr>
        <w:top w:val="none" w:sz="0" w:space="0" w:color="auto"/>
        <w:left w:val="none" w:sz="0" w:space="0" w:color="auto"/>
        <w:bottom w:val="none" w:sz="0" w:space="0" w:color="auto"/>
        <w:right w:val="none" w:sz="0" w:space="0" w:color="auto"/>
      </w:divBdr>
    </w:div>
    <w:div w:id="135125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openxmlformats.org/officeDocument/2006/relationships/settings" Target="settings.xml"/><Relationship Id="rId21" Type="http://schemas.openxmlformats.org/officeDocument/2006/relationships/diagramColors" Target="diagrams/colors3.xml"/><Relationship Id="rId7" Type="http://schemas.openxmlformats.org/officeDocument/2006/relationships/hyperlink" Target="https://sealevelrise.org/solutions/" TargetMode="Externa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diagramLayout" Target="diagrams/layout4.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CAB516-FD94-46D1-A668-7098B1D62CF5}" type="doc">
      <dgm:prSet loTypeId="urn:microsoft.com/office/officeart/2005/8/layout/pList1" loCatId="list" qsTypeId="urn:microsoft.com/office/officeart/2005/8/quickstyle/simple1" qsCatId="simple" csTypeId="urn:microsoft.com/office/officeart/2005/8/colors/accent1_2" csCatId="accent1" phldr="1"/>
      <dgm:spPr/>
      <dgm:t>
        <a:bodyPr/>
        <a:lstStyle/>
        <a:p>
          <a:endParaRPr lang="en-GB"/>
        </a:p>
      </dgm:t>
    </dgm:pt>
    <dgm:pt modelId="{14451E7B-E5EA-44BB-B27C-439EB43ABAF3}">
      <dgm:prSet phldrT="[Text]"/>
      <dgm:spPr/>
      <dgm:t>
        <a:bodyPr/>
        <a:lstStyle/>
        <a:p>
          <a:r>
            <a:rPr lang="en-GB">
              <a:latin typeface="Times New Roman" panose="02020603050405020304" pitchFamily="18" charset="0"/>
              <a:cs typeface="Times New Roman" panose="02020603050405020304" pitchFamily="18" charset="0"/>
            </a:rPr>
            <a:t>STRENGTH</a:t>
          </a:r>
        </a:p>
        <a:p>
          <a:r>
            <a:rPr lang="en-GB">
              <a:latin typeface="Times New Roman" panose="02020603050405020304" pitchFamily="18" charset="0"/>
              <a:cs typeface="Times New Roman" panose="02020603050405020304" pitchFamily="18" charset="0"/>
            </a:rPr>
            <a:t>Many companies that produce pollutants to the environment have outstanding strengths like skilled workers, value recognition, and focus on realising their set goals.</a:t>
          </a:r>
        </a:p>
      </dgm:t>
    </dgm:pt>
    <dgm:pt modelId="{A94F4ABB-DD36-47CF-807D-271D5C9D4567}" type="parTrans" cxnId="{C199BCC1-AF88-4633-AF01-5F9D0DF18A33}">
      <dgm:prSet/>
      <dgm:spPr/>
      <dgm:t>
        <a:bodyPr/>
        <a:lstStyle/>
        <a:p>
          <a:endParaRPr lang="en-GB"/>
        </a:p>
      </dgm:t>
    </dgm:pt>
    <dgm:pt modelId="{D93BD798-5F96-4076-BBA1-89A6D777A87A}" type="sibTrans" cxnId="{C199BCC1-AF88-4633-AF01-5F9D0DF18A33}">
      <dgm:prSet/>
      <dgm:spPr/>
      <dgm:t>
        <a:bodyPr/>
        <a:lstStyle/>
        <a:p>
          <a:endParaRPr lang="en-GB"/>
        </a:p>
      </dgm:t>
    </dgm:pt>
    <dgm:pt modelId="{1A2F833F-4B00-4EFC-B0C8-FEA5D0459B1D}">
      <dgm:prSet phldrT="[Text]"/>
      <dgm:spPr/>
      <dgm:t>
        <a:bodyPr/>
        <a:lstStyle/>
        <a:p>
          <a:r>
            <a:rPr lang="en-GB">
              <a:latin typeface="Times New Roman" panose="02020603050405020304" pitchFamily="18" charset="0"/>
              <a:cs typeface="Times New Roman" panose="02020603050405020304" pitchFamily="18" charset="0"/>
            </a:rPr>
            <a:t>WEAKNESSES</a:t>
          </a:r>
        </a:p>
        <a:p>
          <a:r>
            <a:rPr lang="en-GB">
              <a:latin typeface="Times New Roman" panose="02020603050405020304" pitchFamily="18" charset="0"/>
              <a:cs typeface="Times New Roman" panose="02020603050405020304" pitchFamily="18" charset="0"/>
            </a:rPr>
            <a:t>The primary weaknesses include focusing on addressing their goals and giving slight preference to the existing environmental issues</a:t>
          </a:r>
        </a:p>
      </dgm:t>
    </dgm:pt>
    <dgm:pt modelId="{CD962410-67A7-491E-B6D2-6B4F42609228}" type="parTrans" cxnId="{6A4FB5E2-EDF6-4758-BA97-592358002FA8}">
      <dgm:prSet/>
      <dgm:spPr/>
      <dgm:t>
        <a:bodyPr/>
        <a:lstStyle/>
        <a:p>
          <a:endParaRPr lang="en-GB"/>
        </a:p>
      </dgm:t>
    </dgm:pt>
    <dgm:pt modelId="{CC64AFE5-DA4A-4FFD-95D9-31C422FB9023}" type="sibTrans" cxnId="{6A4FB5E2-EDF6-4758-BA97-592358002FA8}">
      <dgm:prSet/>
      <dgm:spPr/>
      <dgm:t>
        <a:bodyPr/>
        <a:lstStyle/>
        <a:p>
          <a:endParaRPr lang="en-GB"/>
        </a:p>
      </dgm:t>
    </dgm:pt>
    <dgm:pt modelId="{6E409100-841C-4462-B543-C74B73624FC7}">
      <dgm:prSet phldrT="[Text]"/>
      <dgm:spPr/>
      <dgm:t>
        <a:bodyPr/>
        <a:lstStyle/>
        <a:p>
          <a:r>
            <a:rPr lang="en-GB">
              <a:latin typeface="Times New Roman" panose="02020603050405020304" pitchFamily="18" charset="0"/>
              <a:cs typeface="Times New Roman" panose="02020603050405020304" pitchFamily="18" charset="0"/>
            </a:rPr>
            <a:t>OPPORTUNITIES</a:t>
          </a:r>
        </a:p>
        <a:p>
          <a:r>
            <a:rPr lang="en-GB">
              <a:latin typeface="Times New Roman" panose="02020603050405020304" pitchFamily="18" charset="0"/>
              <a:cs typeface="Times New Roman" panose="02020603050405020304" pitchFamily="18" charset="0"/>
            </a:rPr>
            <a:t>Firms know how to take the existing opportunities for their benefit.</a:t>
          </a:r>
        </a:p>
      </dgm:t>
    </dgm:pt>
    <dgm:pt modelId="{56A108B9-010E-40C4-9FC6-703206C46968}" type="parTrans" cxnId="{5A36AF70-146A-4133-B26D-8C1EFCD9876A}">
      <dgm:prSet/>
      <dgm:spPr/>
      <dgm:t>
        <a:bodyPr/>
        <a:lstStyle/>
        <a:p>
          <a:endParaRPr lang="en-GB"/>
        </a:p>
      </dgm:t>
    </dgm:pt>
    <dgm:pt modelId="{D4BFBDD6-36B7-4B8F-B9DB-F1E1206DADCB}" type="sibTrans" cxnId="{5A36AF70-146A-4133-B26D-8C1EFCD9876A}">
      <dgm:prSet/>
      <dgm:spPr/>
      <dgm:t>
        <a:bodyPr/>
        <a:lstStyle/>
        <a:p>
          <a:endParaRPr lang="en-GB"/>
        </a:p>
      </dgm:t>
    </dgm:pt>
    <dgm:pt modelId="{4C6E7DA6-C3E5-47CF-82E6-4A10CB4E68F2}">
      <dgm:prSet phldrT="[Text]"/>
      <dgm:spPr/>
      <dgm:t>
        <a:bodyPr/>
        <a:lstStyle/>
        <a:p>
          <a:r>
            <a:rPr lang="en-GB">
              <a:latin typeface="Times New Roman" panose="02020603050405020304" pitchFamily="18" charset="0"/>
              <a:cs typeface="Times New Roman" panose="02020603050405020304" pitchFamily="18" charset="0"/>
            </a:rPr>
            <a:t>THREATS</a:t>
          </a:r>
        </a:p>
        <a:p>
          <a:r>
            <a:rPr lang="en-GB">
              <a:latin typeface="Times New Roman" panose="02020603050405020304" pitchFamily="18" charset="0"/>
              <a:cs typeface="Times New Roman" panose="02020603050405020304" pitchFamily="18" charset="0"/>
            </a:rPr>
            <a:t>The significant threats concerning companies and pollutions come when climate changes, rising sea levels, and reducing tourism activities </a:t>
          </a:r>
        </a:p>
      </dgm:t>
    </dgm:pt>
    <dgm:pt modelId="{0E27D98E-5936-4E4C-8EEB-627B811CB38B}" type="parTrans" cxnId="{88F5F75F-DD7E-441C-9E75-30B3B0E57470}">
      <dgm:prSet/>
      <dgm:spPr/>
      <dgm:t>
        <a:bodyPr/>
        <a:lstStyle/>
        <a:p>
          <a:endParaRPr lang="en-GB"/>
        </a:p>
      </dgm:t>
    </dgm:pt>
    <dgm:pt modelId="{F6DC5330-5F0F-439D-87DD-61C15B736D3A}" type="sibTrans" cxnId="{88F5F75F-DD7E-441C-9E75-30B3B0E57470}">
      <dgm:prSet/>
      <dgm:spPr/>
      <dgm:t>
        <a:bodyPr/>
        <a:lstStyle/>
        <a:p>
          <a:endParaRPr lang="en-GB"/>
        </a:p>
      </dgm:t>
    </dgm:pt>
    <dgm:pt modelId="{CCD07D8E-769D-413E-8DCA-D118014D57D4}" type="pres">
      <dgm:prSet presAssocID="{9ECAB516-FD94-46D1-A668-7098B1D62CF5}" presName="Name0" presStyleCnt="0">
        <dgm:presLayoutVars>
          <dgm:dir/>
          <dgm:resizeHandles val="exact"/>
        </dgm:presLayoutVars>
      </dgm:prSet>
      <dgm:spPr/>
      <dgm:t>
        <a:bodyPr/>
        <a:lstStyle/>
        <a:p>
          <a:endParaRPr lang="en-US"/>
        </a:p>
      </dgm:t>
    </dgm:pt>
    <dgm:pt modelId="{A78532B5-6225-4A4F-AE2D-A124B7673FD3}" type="pres">
      <dgm:prSet presAssocID="{14451E7B-E5EA-44BB-B27C-439EB43ABAF3}" presName="compNode" presStyleCnt="0"/>
      <dgm:spPr/>
    </dgm:pt>
    <dgm:pt modelId="{7196B1DB-5E5A-42C1-9229-A06B8A925FFE}" type="pres">
      <dgm:prSet presAssocID="{14451E7B-E5EA-44BB-B27C-439EB43ABAF3}" presName="pictRect" presStyleLbl="node1" presStyleIdx="0" presStyleCnt="4" custLinFactNeighborY="-1389"/>
      <dgm:spPr/>
    </dgm:pt>
    <dgm:pt modelId="{1D3D0894-328B-401F-BFC9-62B3DF01A940}" type="pres">
      <dgm:prSet presAssocID="{14451E7B-E5EA-44BB-B27C-439EB43ABAF3}" presName="textRect" presStyleLbl="revTx" presStyleIdx="0" presStyleCnt="4" custScaleX="102175" custScaleY="146044">
        <dgm:presLayoutVars>
          <dgm:bulletEnabled val="1"/>
        </dgm:presLayoutVars>
      </dgm:prSet>
      <dgm:spPr/>
      <dgm:t>
        <a:bodyPr/>
        <a:lstStyle/>
        <a:p>
          <a:endParaRPr lang="en-US"/>
        </a:p>
      </dgm:t>
    </dgm:pt>
    <dgm:pt modelId="{BABC1013-F488-4FBD-9DD6-5DC2B2283218}" type="pres">
      <dgm:prSet presAssocID="{D93BD798-5F96-4076-BBA1-89A6D777A87A}" presName="sibTrans" presStyleLbl="sibTrans2D1" presStyleIdx="0" presStyleCnt="0"/>
      <dgm:spPr/>
      <dgm:t>
        <a:bodyPr/>
        <a:lstStyle/>
        <a:p>
          <a:endParaRPr lang="en-US"/>
        </a:p>
      </dgm:t>
    </dgm:pt>
    <dgm:pt modelId="{EC6CC323-4DBE-4E0A-AC63-8A826D76AB92}" type="pres">
      <dgm:prSet presAssocID="{1A2F833F-4B00-4EFC-B0C8-FEA5D0459B1D}" presName="compNode" presStyleCnt="0"/>
      <dgm:spPr/>
    </dgm:pt>
    <dgm:pt modelId="{0399BD01-1A45-4E7F-A5B0-E938CDAA73F4}" type="pres">
      <dgm:prSet presAssocID="{1A2F833F-4B00-4EFC-B0C8-FEA5D0459B1D}" presName="pictRect" presStyleLbl="node1" presStyleIdx="1" presStyleCnt="4" custLinFactNeighborX="-604" custLinFactNeighborY="-5257"/>
      <dgm:spPr/>
    </dgm:pt>
    <dgm:pt modelId="{C8452957-A62F-4561-BEC7-91D6C8B7577D}" type="pres">
      <dgm:prSet presAssocID="{1A2F833F-4B00-4EFC-B0C8-FEA5D0459B1D}" presName="textRect" presStyleLbl="revTx" presStyleIdx="1" presStyleCnt="4">
        <dgm:presLayoutVars>
          <dgm:bulletEnabled val="1"/>
        </dgm:presLayoutVars>
      </dgm:prSet>
      <dgm:spPr/>
      <dgm:t>
        <a:bodyPr/>
        <a:lstStyle/>
        <a:p>
          <a:endParaRPr lang="en-US"/>
        </a:p>
      </dgm:t>
    </dgm:pt>
    <dgm:pt modelId="{1AA53F2D-D52E-4E55-9345-513E833F1D5F}" type="pres">
      <dgm:prSet presAssocID="{CC64AFE5-DA4A-4FFD-95D9-31C422FB9023}" presName="sibTrans" presStyleLbl="sibTrans2D1" presStyleIdx="0" presStyleCnt="0"/>
      <dgm:spPr/>
      <dgm:t>
        <a:bodyPr/>
        <a:lstStyle/>
        <a:p>
          <a:endParaRPr lang="en-US"/>
        </a:p>
      </dgm:t>
    </dgm:pt>
    <dgm:pt modelId="{1F35864B-901F-4E76-8BF2-F4F8443811FD}" type="pres">
      <dgm:prSet presAssocID="{6E409100-841C-4462-B543-C74B73624FC7}" presName="compNode" presStyleCnt="0"/>
      <dgm:spPr/>
    </dgm:pt>
    <dgm:pt modelId="{5BD97EC3-79A5-4934-9081-DA56E4B38B7C}" type="pres">
      <dgm:prSet presAssocID="{6E409100-841C-4462-B543-C74B73624FC7}" presName="pictRect" presStyleLbl="node1" presStyleIdx="2" presStyleCnt="4"/>
      <dgm:spPr/>
    </dgm:pt>
    <dgm:pt modelId="{BD0AD2CE-CA0B-4351-833D-0E6D4AAE46BB}" type="pres">
      <dgm:prSet presAssocID="{6E409100-841C-4462-B543-C74B73624FC7}" presName="textRect" presStyleLbl="revTx" presStyleIdx="2" presStyleCnt="4">
        <dgm:presLayoutVars>
          <dgm:bulletEnabled val="1"/>
        </dgm:presLayoutVars>
      </dgm:prSet>
      <dgm:spPr/>
      <dgm:t>
        <a:bodyPr/>
        <a:lstStyle/>
        <a:p>
          <a:endParaRPr lang="en-US"/>
        </a:p>
      </dgm:t>
    </dgm:pt>
    <dgm:pt modelId="{7763A8B9-2F0B-4F27-A066-680247542EB5}" type="pres">
      <dgm:prSet presAssocID="{D4BFBDD6-36B7-4B8F-B9DB-F1E1206DADCB}" presName="sibTrans" presStyleLbl="sibTrans2D1" presStyleIdx="0" presStyleCnt="0"/>
      <dgm:spPr/>
      <dgm:t>
        <a:bodyPr/>
        <a:lstStyle/>
        <a:p>
          <a:endParaRPr lang="en-US"/>
        </a:p>
      </dgm:t>
    </dgm:pt>
    <dgm:pt modelId="{33D9AB06-F63F-442F-B5FF-90068CE7EE1A}" type="pres">
      <dgm:prSet presAssocID="{4C6E7DA6-C3E5-47CF-82E6-4A10CB4E68F2}" presName="compNode" presStyleCnt="0"/>
      <dgm:spPr/>
    </dgm:pt>
    <dgm:pt modelId="{EE9B468D-F3C0-4A9F-81FF-4588B1495807}" type="pres">
      <dgm:prSet presAssocID="{4C6E7DA6-C3E5-47CF-82E6-4A10CB4E68F2}" presName="pictRect" presStyleLbl="node1" presStyleIdx="3" presStyleCnt="4" custLinFactNeighborX="-10263" custLinFactNeighborY="2629"/>
      <dgm:spPr/>
    </dgm:pt>
    <dgm:pt modelId="{2E3AAF25-216A-411E-8519-FDC243B39D4A}" type="pres">
      <dgm:prSet presAssocID="{4C6E7DA6-C3E5-47CF-82E6-4A10CB4E68F2}" presName="textRect" presStyleLbl="revTx" presStyleIdx="3" presStyleCnt="4">
        <dgm:presLayoutVars>
          <dgm:bulletEnabled val="1"/>
        </dgm:presLayoutVars>
      </dgm:prSet>
      <dgm:spPr/>
      <dgm:t>
        <a:bodyPr/>
        <a:lstStyle/>
        <a:p>
          <a:endParaRPr lang="en-US"/>
        </a:p>
      </dgm:t>
    </dgm:pt>
  </dgm:ptLst>
  <dgm:cxnLst>
    <dgm:cxn modelId="{F192D88E-AF1C-496C-9778-486F472D60AC}" type="presOf" srcId="{D93BD798-5F96-4076-BBA1-89A6D777A87A}" destId="{BABC1013-F488-4FBD-9DD6-5DC2B2283218}" srcOrd="0" destOrd="0" presId="urn:microsoft.com/office/officeart/2005/8/layout/pList1"/>
    <dgm:cxn modelId="{C199BCC1-AF88-4633-AF01-5F9D0DF18A33}" srcId="{9ECAB516-FD94-46D1-A668-7098B1D62CF5}" destId="{14451E7B-E5EA-44BB-B27C-439EB43ABAF3}" srcOrd="0" destOrd="0" parTransId="{A94F4ABB-DD36-47CF-807D-271D5C9D4567}" sibTransId="{D93BD798-5F96-4076-BBA1-89A6D777A87A}"/>
    <dgm:cxn modelId="{88F5F75F-DD7E-441C-9E75-30B3B0E57470}" srcId="{9ECAB516-FD94-46D1-A668-7098B1D62CF5}" destId="{4C6E7DA6-C3E5-47CF-82E6-4A10CB4E68F2}" srcOrd="3" destOrd="0" parTransId="{0E27D98E-5936-4E4C-8EEB-627B811CB38B}" sibTransId="{F6DC5330-5F0F-439D-87DD-61C15B736D3A}"/>
    <dgm:cxn modelId="{F5442B6B-9410-42B8-852F-F90285270B77}" type="presOf" srcId="{4C6E7DA6-C3E5-47CF-82E6-4A10CB4E68F2}" destId="{2E3AAF25-216A-411E-8519-FDC243B39D4A}" srcOrd="0" destOrd="0" presId="urn:microsoft.com/office/officeart/2005/8/layout/pList1"/>
    <dgm:cxn modelId="{8F600101-24F5-401C-9670-7411C547BE16}" type="presOf" srcId="{D4BFBDD6-36B7-4B8F-B9DB-F1E1206DADCB}" destId="{7763A8B9-2F0B-4F27-A066-680247542EB5}" srcOrd="0" destOrd="0" presId="urn:microsoft.com/office/officeart/2005/8/layout/pList1"/>
    <dgm:cxn modelId="{775FD26B-74A9-4684-B413-F6F44DF1A5DD}" type="presOf" srcId="{14451E7B-E5EA-44BB-B27C-439EB43ABAF3}" destId="{1D3D0894-328B-401F-BFC9-62B3DF01A940}" srcOrd="0" destOrd="0" presId="urn:microsoft.com/office/officeart/2005/8/layout/pList1"/>
    <dgm:cxn modelId="{6A4FB5E2-EDF6-4758-BA97-592358002FA8}" srcId="{9ECAB516-FD94-46D1-A668-7098B1D62CF5}" destId="{1A2F833F-4B00-4EFC-B0C8-FEA5D0459B1D}" srcOrd="1" destOrd="0" parTransId="{CD962410-67A7-491E-B6D2-6B4F42609228}" sibTransId="{CC64AFE5-DA4A-4FFD-95D9-31C422FB9023}"/>
    <dgm:cxn modelId="{5A36AF70-146A-4133-B26D-8C1EFCD9876A}" srcId="{9ECAB516-FD94-46D1-A668-7098B1D62CF5}" destId="{6E409100-841C-4462-B543-C74B73624FC7}" srcOrd="2" destOrd="0" parTransId="{56A108B9-010E-40C4-9FC6-703206C46968}" sibTransId="{D4BFBDD6-36B7-4B8F-B9DB-F1E1206DADCB}"/>
    <dgm:cxn modelId="{2DE4F7E9-3215-42A1-BA90-5E07B7577FCA}" type="presOf" srcId="{6E409100-841C-4462-B543-C74B73624FC7}" destId="{BD0AD2CE-CA0B-4351-833D-0E6D4AAE46BB}" srcOrd="0" destOrd="0" presId="urn:microsoft.com/office/officeart/2005/8/layout/pList1"/>
    <dgm:cxn modelId="{4630F346-CCFB-46FD-A072-6B01257237DA}" type="presOf" srcId="{9ECAB516-FD94-46D1-A668-7098B1D62CF5}" destId="{CCD07D8E-769D-413E-8DCA-D118014D57D4}" srcOrd="0" destOrd="0" presId="urn:microsoft.com/office/officeart/2005/8/layout/pList1"/>
    <dgm:cxn modelId="{D8B07D6C-E815-4757-8935-2E429F0B6967}" type="presOf" srcId="{1A2F833F-4B00-4EFC-B0C8-FEA5D0459B1D}" destId="{C8452957-A62F-4561-BEC7-91D6C8B7577D}" srcOrd="0" destOrd="0" presId="urn:microsoft.com/office/officeart/2005/8/layout/pList1"/>
    <dgm:cxn modelId="{343A2323-D58B-48B6-8377-8FDC330AD5FF}" type="presOf" srcId="{CC64AFE5-DA4A-4FFD-95D9-31C422FB9023}" destId="{1AA53F2D-D52E-4E55-9345-513E833F1D5F}" srcOrd="0" destOrd="0" presId="urn:microsoft.com/office/officeart/2005/8/layout/pList1"/>
    <dgm:cxn modelId="{87703B68-B987-45F5-BD01-0DE5A1B5BF87}" type="presParOf" srcId="{CCD07D8E-769D-413E-8DCA-D118014D57D4}" destId="{A78532B5-6225-4A4F-AE2D-A124B7673FD3}" srcOrd="0" destOrd="0" presId="urn:microsoft.com/office/officeart/2005/8/layout/pList1"/>
    <dgm:cxn modelId="{4C19178A-CB28-4C04-89AA-B7D2B69F4EE0}" type="presParOf" srcId="{A78532B5-6225-4A4F-AE2D-A124B7673FD3}" destId="{7196B1DB-5E5A-42C1-9229-A06B8A925FFE}" srcOrd="0" destOrd="0" presId="urn:microsoft.com/office/officeart/2005/8/layout/pList1"/>
    <dgm:cxn modelId="{FCD4EDB2-5F04-4CE1-90EC-AFECE5FCD49F}" type="presParOf" srcId="{A78532B5-6225-4A4F-AE2D-A124B7673FD3}" destId="{1D3D0894-328B-401F-BFC9-62B3DF01A940}" srcOrd="1" destOrd="0" presId="urn:microsoft.com/office/officeart/2005/8/layout/pList1"/>
    <dgm:cxn modelId="{44282000-2B0C-4801-9350-D2D9ECE64FF1}" type="presParOf" srcId="{CCD07D8E-769D-413E-8DCA-D118014D57D4}" destId="{BABC1013-F488-4FBD-9DD6-5DC2B2283218}" srcOrd="1" destOrd="0" presId="urn:microsoft.com/office/officeart/2005/8/layout/pList1"/>
    <dgm:cxn modelId="{07E7F42B-D9FB-4E32-8741-3BF93D1C4FCD}" type="presParOf" srcId="{CCD07D8E-769D-413E-8DCA-D118014D57D4}" destId="{EC6CC323-4DBE-4E0A-AC63-8A826D76AB92}" srcOrd="2" destOrd="0" presId="urn:microsoft.com/office/officeart/2005/8/layout/pList1"/>
    <dgm:cxn modelId="{4DA17CAF-DCF1-40DA-8EAB-FD54966A73BA}" type="presParOf" srcId="{EC6CC323-4DBE-4E0A-AC63-8A826D76AB92}" destId="{0399BD01-1A45-4E7F-A5B0-E938CDAA73F4}" srcOrd="0" destOrd="0" presId="urn:microsoft.com/office/officeart/2005/8/layout/pList1"/>
    <dgm:cxn modelId="{FCB824CF-B18A-4358-AD01-AF703D96B4FF}" type="presParOf" srcId="{EC6CC323-4DBE-4E0A-AC63-8A826D76AB92}" destId="{C8452957-A62F-4561-BEC7-91D6C8B7577D}" srcOrd="1" destOrd="0" presId="urn:microsoft.com/office/officeart/2005/8/layout/pList1"/>
    <dgm:cxn modelId="{DCE19590-63AF-4D99-86BD-B9C16EF95909}" type="presParOf" srcId="{CCD07D8E-769D-413E-8DCA-D118014D57D4}" destId="{1AA53F2D-D52E-4E55-9345-513E833F1D5F}" srcOrd="3" destOrd="0" presId="urn:microsoft.com/office/officeart/2005/8/layout/pList1"/>
    <dgm:cxn modelId="{A842C217-C3C4-441F-A11F-42DDCAE47429}" type="presParOf" srcId="{CCD07D8E-769D-413E-8DCA-D118014D57D4}" destId="{1F35864B-901F-4E76-8BF2-F4F8443811FD}" srcOrd="4" destOrd="0" presId="urn:microsoft.com/office/officeart/2005/8/layout/pList1"/>
    <dgm:cxn modelId="{2CDA69B8-9902-4CCE-949C-37F97A45BCC8}" type="presParOf" srcId="{1F35864B-901F-4E76-8BF2-F4F8443811FD}" destId="{5BD97EC3-79A5-4934-9081-DA56E4B38B7C}" srcOrd="0" destOrd="0" presId="urn:microsoft.com/office/officeart/2005/8/layout/pList1"/>
    <dgm:cxn modelId="{AEF23C22-D5C0-4DC3-AE56-744B26E89C19}" type="presParOf" srcId="{1F35864B-901F-4E76-8BF2-F4F8443811FD}" destId="{BD0AD2CE-CA0B-4351-833D-0E6D4AAE46BB}" srcOrd="1" destOrd="0" presId="urn:microsoft.com/office/officeart/2005/8/layout/pList1"/>
    <dgm:cxn modelId="{FBB26172-74AB-4147-8DCD-0DF13D3AB796}" type="presParOf" srcId="{CCD07D8E-769D-413E-8DCA-D118014D57D4}" destId="{7763A8B9-2F0B-4F27-A066-680247542EB5}" srcOrd="5" destOrd="0" presId="urn:microsoft.com/office/officeart/2005/8/layout/pList1"/>
    <dgm:cxn modelId="{493D0B81-3128-449D-A269-D2656E2018F5}" type="presParOf" srcId="{CCD07D8E-769D-413E-8DCA-D118014D57D4}" destId="{33D9AB06-F63F-442F-B5FF-90068CE7EE1A}" srcOrd="6" destOrd="0" presId="urn:microsoft.com/office/officeart/2005/8/layout/pList1"/>
    <dgm:cxn modelId="{FC903B5A-7336-42CA-AE3F-EA3735610813}" type="presParOf" srcId="{33D9AB06-F63F-442F-B5FF-90068CE7EE1A}" destId="{EE9B468D-F3C0-4A9F-81FF-4588B1495807}" srcOrd="0" destOrd="0" presId="urn:microsoft.com/office/officeart/2005/8/layout/pList1"/>
    <dgm:cxn modelId="{D4D96E66-A206-49A8-AD3A-161AE3E715C4}" type="presParOf" srcId="{33D9AB06-F63F-442F-B5FF-90068CE7EE1A}" destId="{2E3AAF25-216A-411E-8519-FDC243B39D4A}" srcOrd="1" destOrd="0" presId="urn:microsoft.com/office/officeart/2005/8/layout/p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1C9847F-0298-4353-902A-4434453AE4C8}"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GB"/>
        </a:p>
      </dgm:t>
    </dgm:pt>
    <dgm:pt modelId="{9A2DBCB7-0C6C-4EFA-886D-CB10C328DA75}">
      <dgm:prSet phldrT="[Text]"/>
      <dgm:spPr/>
      <dgm:t>
        <a:bodyPr/>
        <a:lstStyle/>
        <a:p>
          <a:endParaRPr lang="en-GB"/>
        </a:p>
      </dgm:t>
    </dgm:pt>
    <dgm:pt modelId="{D1FC9D5F-1DDA-40BB-A187-651F65090C4C}" type="parTrans" cxnId="{4C815F57-A6E6-4998-87B4-9F017CC62C00}">
      <dgm:prSet/>
      <dgm:spPr/>
      <dgm:t>
        <a:bodyPr/>
        <a:lstStyle/>
        <a:p>
          <a:endParaRPr lang="en-GB"/>
        </a:p>
      </dgm:t>
    </dgm:pt>
    <dgm:pt modelId="{B97E333E-A716-4BB8-9E99-6021093D069D}" type="sibTrans" cxnId="{4C815F57-A6E6-4998-87B4-9F017CC62C00}">
      <dgm:prSet/>
      <dgm:spPr/>
      <dgm:t>
        <a:bodyPr/>
        <a:lstStyle/>
        <a:p>
          <a:endParaRPr lang="en-GB"/>
        </a:p>
      </dgm:t>
    </dgm:pt>
    <dgm:pt modelId="{E0483375-3F9D-4993-9F55-A2B78CC394B8}">
      <dgm:prSet phldrT="[Text]"/>
      <dgm:spPr/>
      <dgm:t>
        <a:bodyPr/>
        <a:lstStyle/>
        <a:p>
          <a:endParaRPr lang="en-GB"/>
        </a:p>
      </dgm:t>
    </dgm:pt>
    <dgm:pt modelId="{37689B25-2796-4DD4-A614-CF00D87CD83B}" type="parTrans" cxnId="{635FF498-4E14-4EFB-9B77-C5654D308E1E}">
      <dgm:prSet/>
      <dgm:spPr/>
      <dgm:t>
        <a:bodyPr/>
        <a:lstStyle/>
        <a:p>
          <a:endParaRPr lang="en-GB"/>
        </a:p>
      </dgm:t>
    </dgm:pt>
    <dgm:pt modelId="{8C0A92A7-5A5A-4843-9F02-D66F5E5495F3}" type="sibTrans" cxnId="{635FF498-4E14-4EFB-9B77-C5654D308E1E}">
      <dgm:prSet/>
      <dgm:spPr/>
      <dgm:t>
        <a:bodyPr/>
        <a:lstStyle/>
        <a:p>
          <a:endParaRPr lang="en-GB"/>
        </a:p>
      </dgm:t>
    </dgm:pt>
    <dgm:pt modelId="{794024E2-1240-4D90-AED1-49400F84A684}">
      <dgm:prSet phldrT="[Text]"/>
      <dgm:spPr/>
      <dgm:t>
        <a:bodyPr/>
        <a:lstStyle/>
        <a:p>
          <a:r>
            <a:rPr lang="en-GB">
              <a:latin typeface="Times New Roman" panose="02020603050405020304" pitchFamily="18" charset="0"/>
              <a:cs typeface="Times New Roman" panose="02020603050405020304" pitchFamily="18" charset="0"/>
            </a:rPr>
            <a:t>When the industries worldwide control their pollution activities to the environment, other sectors will benefit maximally, like the tourism industry. </a:t>
          </a:r>
        </a:p>
      </dgm:t>
    </dgm:pt>
    <dgm:pt modelId="{DEA87542-E765-4730-8BC5-170A72826522}" type="parTrans" cxnId="{F32A341F-0383-44ED-8C23-15E5A84D3B6D}">
      <dgm:prSet/>
      <dgm:spPr/>
      <dgm:t>
        <a:bodyPr/>
        <a:lstStyle/>
        <a:p>
          <a:endParaRPr lang="en-GB"/>
        </a:p>
      </dgm:t>
    </dgm:pt>
    <dgm:pt modelId="{77DDE889-699E-4D52-9FE1-6476C7090928}" type="sibTrans" cxnId="{F32A341F-0383-44ED-8C23-15E5A84D3B6D}">
      <dgm:prSet/>
      <dgm:spPr/>
      <dgm:t>
        <a:bodyPr/>
        <a:lstStyle/>
        <a:p>
          <a:endParaRPr lang="en-GB"/>
        </a:p>
      </dgm:t>
    </dgm:pt>
    <dgm:pt modelId="{D37C75C6-B344-4CE2-8412-9B609D3E5424}">
      <dgm:prSet phldrT="[Text]" custT="1"/>
      <dgm:spPr/>
      <dgm:t>
        <a:bodyPr/>
        <a:lstStyle/>
        <a:p>
          <a:r>
            <a:rPr lang="en-GB" sz="1050" b="1">
              <a:latin typeface="Times New Roman" panose="02020603050405020304" pitchFamily="18" charset="0"/>
              <a:cs typeface="Times New Roman" panose="02020603050405020304" pitchFamily="18" charset="0"/>
            </a:rPr>
            <a:t>The wetland environment </a:t>
          </a:r>
        </a:p>
      </dgm:t>
    </dgm:pt>
    <dgm:pt modelId="{E2EF8A70-AF5D-47A8-B01D-EACBD8311E57}" type="parTrans" cxnId="{C7EA2605-8E6A-4D0B-8661-89E75F35FDD3}">
      <dgm:prSet/>
      <dgm:spPr/>
      <dgm:t>
        <a:bodyPr/>
        <a:lstStyle/>
        <a:p>
          <a:endParaRPr lang="en-GB"/>
        </a:p>
      </dgm:t>
    </dgm:pt>
    <dgm:pt modelId="{4E351268-9D9C-4288-948D-97C891BE2F1E}" type="sibTrans" cxnId="{C7EA2605-8E6A-4D0B-8661-89E75F35FDD3}">
      <dgm:prSet/>
      <dgm:spPr/>
      <dgm:t>
        <a:bodyPr/>
        <a:lstStyle/>
        <a:p>
          <a:endParaRPr lang="en-GB"/>
        </a:p>
      </dgm:t>
    </dgm:pt>
    <dgm:pt modelId="{AD2283D2-06E9-4887-B893-104EED381ACE}">
      <dgm:prSet/>
      <dgm:spPr/>
      <dgm:t>
        <a:bodyPr/>
        <a:lstStyle/>
        <a:p>
          <a:r>
            <a:rPr lang="en-GB">
              <a:latin typeface="Times New Roman" panose="02020603050405020304" pitchFamily="18" charset="0"/>
              <a:cs typeface="Times New Roman" panose="02020603050405020304" pitchFamily="18" charset="0"/>
            </a:rPr>
            <a:t>There will be a few rising sea levels incidences, and the wetlands will remain stable. In return, more visitors will be present in an area like Florida and Miami beaches, generating revenue for the states. </a:t>
          </a:r>
        </a:p>
      </dgm:t>
    </dgm:pt>
    <dgm:pt modelId="{AE293DE8-5932-4EE3-9B6D-02493056B035}" type="parTrans" cxnId="{740ABC9B-9398-4278-B50F-E0160DDD1258}">
      <dgm:prSet/>
      <dgm:spPr/>
      <dgm:t>
        <a:bodyPr/>
        <a:lstStyle/>
        <a:p>
          <a:endParaRPr lang="en-GB"/>
        </a:p>
      </dgm:t>
    </dgm:pt>
    <dgm:pt modelId="{D4405315-F8E9-4108-B76F-D38AB3070065}" type="sibTrans" cxnId="{740ABC9B-9398-4278-B50F-E0160DDD1258}">
      <dgm:prSet/>
      <dgm:spPr/>
      <dgm:t>
        <a:bodyPr/>
        <a:lstStyle/>
        <a:p>
          <a:endParaRPr lang="en-GB"/>
        </a:p>
      </dgm:t>
    </dgm:pt>
    <dgm:pt modelId="{17E6420B-CA0D-48A7-9234-8887954F95A5}" type="pres">
      <dgm:prSet presAssocID="{C1C9847F-0298-4353-902A-4434453AE4C8}" presName="Name0" presStyleCnt="0">
        <dgm:presLayoutVars>
          <dgm:chMax val="7"/>
          <dgm:resizeHandles val="exact"/>
        </dgm:presLayoutVars>
      </dgm:prSet>
      <dgm:spPr/>
      <dgm:t>
        <a:bodyPr/>
        <a:lstStyle/>
        <a:p>
          <a:endParaRPr lang="en-US"/>
        </a:p>
      </dgm:t>
    </dgm:pt>
    <dgm:pt modelId="{41DC9B6C-7147-4E91-BDDE-A7DE37CC7436}" type="pres">
      <dgm:prSet presAssocID="{C1C9847F-0298-4353-902A-4434453AE4C8}" presName="comp1" presStyleCnt="0"/>
      <dgm:spPr/>
    </dgm:pt>
    <dgm:pt modelId="{330A0011-8CBC-4E1F-AF9C-F1B480F1A5ED}" type="pres">
      <dgm:prSet presAssocID="{C1C9847F-0298-4353-902A-4434453AE4C8}" presName="circle1" presStyleLbl="node1" presStyleIdx="0" presStyleCnt="5"/>
      <dgm:spPr/>
      <dgm:t>
        <a:bodyPr/>
        <a:lstStyle/>
        <a:p>
          <a:endParaRPr lang="en-US"/>
        </a:p>
      </dgm:t>
    </dgm:pt>
    <dgm:pt modelId="{B7959F5E-D674-4A0D-9545-C4CAC3B54714}" type="pres">
      <dgm:prSet presAssocID="{C1C9847F-0298-4353-902A-4434453AE4C8}" presName="c1text" presStyleLbl="node1" presStyleIdx="0" presStyleCnt="5">
        <dgm:presLayoutVars>
          <dgm:bulletEnabled val="1"/>
        </dgm:presLayoutVars>
      </dgm:prSet>
      <dgm:spPr/>
      <dgm:t>
        <a:bodyPr/>
        <a:lstStyle/>
        <a:p>
          <a:endParaRPr lang="en-US"/>
        </a:p>
      </dgm:t>
    </dgm:pt>
    <dgm:pt modelId="{28F815C1-1A36-4AF3-A05A-471CFF2BDE8F}" type="pres">
      <dgm:prSet presAssocID="{C1C9847F-0298-4353-902A-4434453AE4C8}" presName="comp2" presStyleCnt="0"/>
      <dgm:spPr/>
    </dgm:pt>
    <dgm:pt modelId="{549F3C93-AEFC-4C6E-A101-06B9CAA43CE7}" type="pres">
      <dgm:prSet presAssocID="{C1C9847F-0298-4353-902A-4434453AE4C8}" presName="circle2" presStyleLbl="node1" presStyleIdx="1" presStyleCnt="5" custScaleY="107750"/>
      <dgm:spPr/>
      <dgm:t>
        <a:bodyPr/>
        <a:lstStyle/>
        <a:p>
          <a:endParaRPr lang="en-US"/>
        </a:p>
      </dgm:t>
    </dgm:pt>
    <dgm:pt modelId="{13D69251-B8FF-4B9E-8955-C100A6B08499}" type="pres">
      <dgm:prSet presAssocID="{C1C9847F-0298-4353-902A-4434453AE4C8}" presName="c2text" presStyleLbl="node1" presStyleIdx="1" presStyleCnt="5">
        <dgm:presLayoutVars>
          <dgm:bulletEnabled val="1"/>
        </dgm:presLayoutVars>
      </dgm:prSet>
      <dgm:spPr/>
      <dgm:t>
        <a:bodyPr/>
        <a:lstStyle/>
        <a:p>
          <a:endParaRPr lang="en-US"/>
        </a:p>
      </dgm:t>
    </dgm:pt>
    <dgm:pt modelId="{6D259622-D841-4D27-842C-D23608A55F0F}" type="pres">
      <dgm:prSet presAssocID="{C1C9847F-0298-4353-902A-4434453AE4C8}" presName="comp3" presStyleCnt="0"/>
      <dgm:spPr/>
    </dgm:pt>
    <dgm:pt modelId="{3B9D0F6B-D3AA-4A69-B33D-560946983B1A}" type="pres">
      <dgm:prSet presAssocID="{C1C9847F-0298-4353-902A-4434453AE4C8}" presName="circle3" presStyleLbl="node1" presStyleIdx="2" presStyleCnt="5" custScaleX="103836" custScaleY="117999"/>
      <dgm:spPr/>
      <dgm:t>
        <a:bodyPr/>
        <a:lstStyle/>
        <a:p>
          <a:endParaRPr lang="en-US"/>
        </a:p>
      </dgm:t>
    </dgm:pt>
    <dgm:pt modelId="{5888811B-53B6-4F4D-930C-D47E3CCD8476}" type="pres">
      <dgm:prSet presAssocID="{C1C9847F-0298-4353-902A-4434453AE4C8}" presName="c3text" presStyleLbl="node1" presStyleIdx="2" presStyleCnt="5">
        <dgm:presLayoutVars>
          <dgm:bulletEnabled val="1"/>
        </dgm:presLayoutVars>
      </dgm:prSet>
      <dgm:spPr/>
      <dgm:t>
        <a:bodyPr/>
        <a:lstStyle/>
        <a:p>
          <a:endParaRPr lang="en-US"/>
        </a:p>
      </dgm:t>
    </dgm:pt>
    <dgm:pt modelId="{C77D9DC3-58AC-420D-8289-6672C57B4BF0}" type="pres">
      <dgm:prSet presAssocID="{C1C9847F-0298-4353-902A-4434453AE4C8}" presName="comp4" presStyleCnt="0"/>
      <dgm:spPr/>
    </dgm:pt>
    <dgm:pt modelId="{A5855950-01D7-478A-857D-99E33197514E}" type="pres">
      <dgm:prSet presAssocID="{C1C9847F-0298-4353-902A-4434453AE4C8}" presName="circle4" presStyleLbl="node1" presStyleIdx="3" presStyleCnt="5" custScaleY="102832"/>
      <dgm:spPr/>
      <dgm:t>
        <a:bodyPr/>
        <a:lstStyle/>
        <a:p>
          <a:endParaRPr lang="en-US"/>
        </a:p>
      </dgm:t>
    </dgm:pt>
    <dgm:pt modelId="{56D232F4-5463-4F77-8C25-486C0EF76C58}" type="pres">
      <dgm:prSet presAssocID="{C1C9847F-0298-4353-902A-4434453AE4C8}" presName="c4text" presStyleLbl="node1" presStyleIdx="3" presStyleCnt="5">
        <dgm:presLayoutVars>
          <dgm:bulletEnabled val="1"/>
        </dgm:presLayoutVars>
      </dgm:prSet>
      <dgm:spPr/>
      <dgm:t>
        <a:bodyPr/>
        <a:lstStyle/>
        <a:p>
          <a:endParaRPr lang="en-US"/>
        </a:p>
      </dgm:t>
    </dgm:pt>
    <dgm:pt modelId="{7F9741DC-E4D2-4CBE-AB83-3945525D5801}" type="pres">
      <dgm:prSet presAssocID="{C1C9847F-0298-4353-902A-4434453AE4C8}" presName="comp5" presStyleCnt="0"/>
      <dgm:spPr/>
    </dgm:pt>
    <dgm:pt modelId="{65DEE6DB-8EFC-4778-A018-4E00AADB8DED}" type="pres">
      <dgm:prSet presAssocID="{C1C9847F-0298-4353-902A-4434453AE4C8}" presName="circle5" presStyleLbl="node1" presStyleIdx="4" presStyleCnt="5"/>
      <dgm:spPr/>
      <dgm:t>
        <a:bodyPr/>
        <a:lstStyle/>
        <a:p>
          <a:endParaRPr lang="en-US"/>
        </a:p>
      </dgm:t>
    </dgm:pt>
    <dgm:pt modelId="{9666F48F-2FD6-49B5-A6A5-6B7C787D26CE}" type="pres">
      <dgm:prSet presAssocID="{C1C9847F-0298-4353-902A-4434453AE4C8}" presName="c5text" presStyleLbl="node1" presStyleIdx="4" presStyleCnt="5">
        <dgm:presLayoutVars>
          <dgm:bulletEnabled val="1"/>
        </dgm:presLayoutVars>
      </dgm:prSet>
      <dgm:spPr/>
      <dgm:t>
        <a:bodyPr/>
        <a:lstStyle/>
        <a:p>
          <a:endParaRPr lang="en-US"/>
        </a:p>
      </dgm:t>
    </dgm:pt>
  </dgm:ptLst>
  <dgm:cxnLst>
    <dgm:cxn modelId="{F32A341F-0383-44ED-8C23-15E5A84D3B6D}" srcId="{C1C9847F-0298-4353-902A-4434453AE4C8}" destId="{794024E2-1240-4D90-AED1-49400F84A684}" srcOrd="3" destOrd="0" parTransId="{DEA87542-E765-4730-8BC5-170A72826522}" sibTransId="{77DDE889-699E-4D52-9FE1-6476C7090928}"/>
    <dgm:cxn modelId="{C7EA2605-8E6A-4D0B-8661-89E75F35FDD3}" srcId="{C1C9847F-0298-4353-902A-4434453AE4C8}" destId="{D37C75C6-B344-4CE2-8412-9B609D3E5424}" srcOrd="4" destOrd="0" parTransId="{E2EF8A70-AF5D-47A8-B01D-EACBD8311E57}" sibTransId="{4E351268-9D9C-4288-948D-97C891BE2F1E}"/>
    <dgm:cxn modelId="{B88C83E8-7690-4225-98A5-B9C03701E947}" type="presOf" srcId="{794024E2-1240-4D90-AED1-49400F84A684}" destId="{A5855950-01D7-478A-857D-99E33197514E}" srcOrd="0" destOrd="0" presId="urn:microsoft.com/office/officeart/2005/8/layout/venn2"/>
    <dgm:cxn modelId="{1B3DBFBC-0BFD-44BA-B5FC-2ECA7EA0D2B2}" type="presOf" srcId="{E0483375-3F9D-4993-9F55-A2B78CC394B8}" destId="{13D69251-B8FF-4B9E-8955-C100A6B08499}" srcOrd="1" destOrd="0" presId="urn:microsoft.com/office/officeart/2005/8/layout/venn2"/>
    <dgm:cxn modelId="{06C6A313-592A-4366-89AF-494785E2733A}" type="presOf" srcId="{AD2283D2-06E9-4887-B893-104EED381ACE}" destId="{5888811B-53B6-4F4D-930C-D47E3CCD8476}" srcOrd="1" destOrd="0" presId="urn:microsoft.com/office/officeart/2005/8/layout/venn2"/>
    <dgm:cxn modelId="{740ABC9B-9398-4278-B50F-E0160DDD1258}" srcId="{C1C9847F-0298-4353-902A-4434453AE4C8}" destId="{AD2283D2-06E9-4887-B893-104EED381ACE}" srcOrd="2" destOrd="0" parTransId="{AE293DE8-5932-4EE3-9B6D-02493056B035}" sibTransId="{D4405315-F8E9-4108-B76F-D38AB3070065}"/>
    <dgm:cxn modelId="{B9D5A140-1200-4029-871C-632196570B13}" type="presOf" srcId="{AD2283D2-06E9-4887-B893-104EED381ACE}" destId="{3B9D0F6B-D3AA-4A69-B33D-560946983B1A}" srcOrd="0" destOrd="0" presId="urn:microsoft.com/office/officeart/2005/8/layout/venn2"/>
    <dgm:cxn modelId="{4C815F57-A6E6-4998-87B4-9F017CC62C00}" srcId="{C1C9847F-0298-4353-902A-4434453AE4C8}" destId="{9A2DBCB7-0C6C-4EFA-886D-CB10C328DA75}" srcOrd="0" destOrd="0" parTransId="{D1FC9D5F-1DDA-40BB-A187-651F65090C4C}" sibTransId="{B97E333E-A716-4BB8-9E99-6021093D069D}"/>
    <dgm:cxn modelId="{635FF498-4E14-4EFB-9B77-C5654D308E1E}" srcId="{C1C9847F-0298-4353-902A-4434453AE4C8}" destId="{E0483375-3F9D-4993-9F55-A2B78CC394B8}" srcOrd="1" destOrd="0" parTransId="{37689B25-2796-4DD4-A614-CF00D87CD83B}" sibTransId="{8C0A92A7-5A5A-4843-9F02-D66F5E5495F3}"/>
    <dgm:cxn modelId="{5960593B-821C-43E6-8979-5410E15C0698}" type="presOf" srcId="{794024E2-1240-4D90-AED1-49400F84A684}" destId="{56D232F4-5463-4F77-8C25-486C0EF76C58}" srcOrd="1" destOrd="0" presId="urn:microsoft.com/office/officeart/2005/8/layout/venn2"/>
    <dgm:cxn modelId="{610E290D-F451-415E-8E3B-182D9215D366}" type="presOf" srcId="{D37C75C6-B344-4CE2-8412-9B609D3E5424}" destId="{65DEE6DB-8EFC-4778-A018-4E00AADB8DED}" srcOrd="0" destOrd="0" presId="urn:microsoft.com/office/officeart/2005/8/layout/venn2"/>
    <dgm:cxn modelId="{B018BF04-112F-46CC-A21D-A8CFE824C5AA}" type="presOf" srcId="{9A2DBCB7-0C6C-4EFA-886D-CB10C328DA75}" destId="{330A0011-8CBC-4E1F-AF9C-F1B480F1A5ED}" srcOrd="0" destOrd="0" presId="urn:microsoft.com/office/officeart/2005/8/layout/venn2"/>
    <dgm:cxn modelId="{BBB83FE7-C1AB-4505-BF5D-6AEBEDF4C9EB}" type="presOf" srcId="{E0483375-3F9D-4993-9F55-A2B78CC394B8}" destId="{549F3C93-AEFC-4C6E-A101-06B9CAA43CE7}" srcOrd="0" destOrd="0" presId="urn:microsoft.com/office/officeart/2005/8/layout/venn2"/>
    <dgm:cxn modelId="{D94D0AC1-3912-4819-AAA0-25E4C48FB69D}" type="presOf" srcId="{C1C9847F-0298-4353-902A-4434453AE4C8}" destId="{17E6420B-CA0D-48A7-9234-8887954F95A5}" srcOrd="0" destOrd="0" presId="urn:microsoft.com/office/officeart/2005/8/layout/venn2"/>
    <dgm:cxn modelId="{D07F75B6-994F-47EA-96E5-2E3C671BB9D2}" type="presOf" srcId="{9A2DBCB7-0C6C-4EFA-886D-CB10C328DA75}" destId="{B7959F5E-D674-4A0D-9545-C4CAC3B54714}" srcOrd="1" destOrd="0" presId="urn:microsoft.com/office/officeart/2005/8/layout/venn2"/>
    <dgm:cxn modelId="{F82AD8B4-E423-4582-B466-A37E63C35A2E}" type="presOf" srcId="{D37C75C6-B344-4CE2-8412-9B609D3E5424}" destId="{9666F48F-2FD6-49B5-A6A5-6B7C787D26CE}" srcOrd="1" destOrd="0" presId="urn:microsoft.com/office/officeart/2005/8/layout/venn2"/>
    <dgm:cxn modelId="{18E32247-AF52-41E7-8A35-45E57210CE5A}" type="presParOf" srcId="{17E6420B-CA0D-48A7-9234-8887954F95A5}" destId="{41DC9B6C-7147-4E91-BDDE-A7DE37CC7436}" srcOrd="0" destOrd="0" presId="urn:microsoft.com/office/officeart/2005/8/layout/venn2"/>
    <dgm:cxn modelId="{0DADB9CB-22D7-46A0-B0C1-3238C832AD98}" type="presParOf" srcId="{41DC9B6C-7147-4E91-BDDE-A7DE37CC7436}" destId="{330A0011-8CBC-4E1F-AF9C-F1B480F1A5ED}" srcOrd="0" destOrd="0" presId="urn:microsoft.com/office/officeart/2005/8/layout/venn2"/>
    <dgm:cxn modelId="{F9932D3E-9C80-4B4D-A988-E99D5B142A08}" type="presParOf" srcId="{41DC9B6C-7147-4E91-BDDE-A7DE37CC7436}" destId="{B7959F5E-D674-4A0D-9545-C4CAC3B54714}" srcOrd="1" destOrd="0" presId="urn:microsoft.com/office/officeart/2005/8/layout/venn2"/>
    <dgm:cxn modelId="{BB5139A7-9421-4216-85B1-9BA768A1AAE1}" type="presParOf" srcId="{17E6420B-CA0D-48A7-9234-8887954F95A5}" destId="{28F815C1-1A36-4AF3-A05A-471CFF2BDE8F}" srcOrd="1" destOrd="0" presId="urn:microsoft.com/office/officeart/2005/8/layout/venn2"/>
    <dgm:cxn modelId="{6454D82E-C1C3-4C7A-8B1B-A2728096491B}" type="presParOf" srcId="{28F815C1-1A36-4AF3-A05A-471CFF2BDE8F}" destId="{549F3C93-AEFC-4C6E-A101-06B9CAA43CE7}" srcOrd="0" destOrd="0" presId="urn:microsoft.com/office/officeart/2005/8/layout/venn2"/>
    <dgm:cxn modelId="{9D151366-BBE5-42D8-9A51-5CAA0B4DDE57}" type="presParOf" srcId="{28F815C1-1A36-4AF3-A05A-471CFF2BDE8F}" destId="{13D69251-B8FF-4B9E-8955-C100A6B08499}" srcOrd="1" destOrd="0" presId="urn:microsoft.com/office/officeart/2005/8/layout/venn2"/>
    <dgm:cxn modelId="{B6FE77C1-D95F-4FFE-9673-A636C1F6465A}" type="presParOf" srcId="{17E6420B-CA0D-48A7-9234-8887954F95A5}" destId="{6D259622-D841-4D27-842C-D23608A55F0F}" srcOrd="2" destOrd="0" presId="urn:microsoft.com/office/officeart/2005/8/layout/venn2"/>
    <dgm:cxn modelId="{C3381061-C97A-4CF8-81FD-8B924F084131}" type="presParOf" srcId="{6D259622-D841-4D27-842C-D23608A55F0F}" destId="{3B9D0F6B-D3AA-4A69-B33D-560946983B1A}" srcOrd="0" destOrd="0" presId="urn:microsoft.com/office/officeart/2005/8/layout/venn2"/>
    <dgm:cxn modelId="{27425342-9B84-406C-B362-834F9F2BE3F4}" type="presParOf" srcId="{6D259622-D841-4D27-842C-D23608A55F0F}" destId="{5888811B-53B6-4F4D-930C-D47E3CCD8476}" srcOrd="1" destOrd="0" presId="urn:microsoft.com/office/officeart/2005/8/layout/venn2"/>
    <dgm:cxn modelId="{5A92AA2C-1031-425E-8562-ED423A0A6B1A}" type="presParOf" srcId="{17E6420B-CA0D-48A7-9234-8887954F95A5}" destId="{C77D9DC3-58AC-420D-8289-6672C57B4BF0}" srcOrd="3" destOrd="0" presId="urn:microsoft.com/office/officeart/2005/8/layout/venn2"/>
    <dgm:cxn modelId="{78E3A45A-8797-422F-927F-8468CCDBF452}" type="presParOf" srcId="{C77D9DC3-58AC-420D-8289-6672C57B4BF0}" destId="{A5855950-01D7-478A-857D-99E33197514E}" srcOrd="0" destOrd="0" presId="urn:microsoft.com/office/officeart/2005/8/layout/venn2"/>
    <dgm:cxn modelId="{153D3315-1C8B-40D4-A82E-A84AC3A37174}" type="presParOf" srcId="{C77D9DC3-58AC-420D-8289-6672C57B4BF0}" destId="{56D232F4-5463-4F77-8C25-486C0EF76C58}" srcOrd="1" destOrd="0" presId="urn:microsoft.com/office/officeart/2005/8/layout/venn2"/>
    <dgm:cxn modelId="{B8EEB3B3-FC3E-4983-B1EE-AA594F7BA15A}" type="presParOf" srcId="{17E6420B-CA0D-48A7-9234-8887954F95A5}" destId="{7F9741DC-E4D2-4CBE-AB83-3945525D5801}" srcOrd="4" destOrd="0" presId="urn:microsoft.com/office/officeart/2005/8/layout/venn2"/>
    <dgm:cxn modelId="{EFD95740-3D62-411E-A70A-E4FCED2D11A9}" type="presParOf" srcId="{7F9741DC-E4D2-4CBE-AB83-3945525D5801}" destId="{65DEE6DB-8EFC-4778-A018-4E00AADB8DED}" srcOrd="0" destOrd="0" presId="urn:microsoft.com/office/officeart/2005/8/layout/venn2"/>
    <dgm:cxn modelId="{E8F1F79E-9671-4CEC-BFB4-7DF6AB598861}" type="presParOf" srcId="{7F9741DC-E4D2-4CBE-AB83-3945525D5801}" destId="{9666F48F-2FD6-49B5-A6A5-6B7C787D26CE}" srcOrd="1" destOrd="0" presId="urn:microsoft.com/office/officeart/2005/8/layout/ven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93AD918-D805-44DA-B095-6462C3E1D81A}" type="doc">
      <dgm:prSet loTypeId="urn:microsoft.com/office/officeart/2005/8/layout/pyramid2" loCatId="list" qsTypeId="urn:microsoft.com/office/officeart/2005/8/quickstyle/simple1" qsCatId="simple" csTypeId="urn:microsoft.com/office/officeart/2005/8/colors/accent1_2" csCatId="accent1" phldr="1"/>
      <dgm:spPr/>
    </dgm:pt>
    <dgm:pt modelId="{56C5A5F3-0964-4559-B860-1AD80374C82E}">
      <dgm:prSet phldrT="[Text]"/>
      <dgm:spPr/>
      <dgm:t>
        <a:bodyPr/>
        <a:lstStyle/>
        <a:p>
          <a:r>
            <a:rPr lang="en-GB">
              <a:solidFill>
                <a:srgbClr val="C00000"/>
              </a:solidFill>
              <a:latin typeface="Times New Roman" panose="02020603050405020304" pitchFamily="18" charset="0"/>
              <a:cs typeface="Times New Roman" panose="02020603050405020304" pitchFamily="18" charset="0"/>
            </a:rPr>
            <a:t>SEGMENTATION</a:t>
          </a:r>
        </a:p>
        <a:p>
          <a:r>
            <a:rPr lang="en-GB">
              <a:latin typeface="Times New Roman" panose="02020603050405020304" pitchFamily="18" charset="0"/>
              <a:cs typeface="Times New Roman" panose="02020603050405020304" pitchFamily="18" charset="0"/>
            </a:rPr>
            <a:t>Identifying groups of customers and dividing the market into identifiable and dissimilar segments . </a:t>
          </a:r>
        </a:p>
      </dgm:t>
    </dgm:pt>
    <dgm:pt modelId="{F130CAD2-BE11-4A66-B28F-9E8A34BCA66A}" type="parTrans" cxnId="{59FE2FA2-745E-452C-9960-5520CA29ECB3}">
      <dgm:prSet/>
      <dgm:spPr/>
      <dgm:t>
        <a:bodyPr/>
        <a:lstStyle/>
        <a:p>
          <a:endParaRPr lang="en-GB"/>
        </a:p>
      </dgm:t>
    </dgm:pt>
    <dgm:pt modelId="{9915EF75-C62A-4D3E-AB22-F92208753B1E}" type="sibTrans" cxnId="{59FE2FA2-745E-452C-9960-5520CA29ECB3}">
      <dgm:prSet/>
      <dgm:spPr/>
      <dgm:t>
        <a:bodyPr/>
        <a:lstStyle/>
        <a:p>
          <a:endParaRPr lang="en-GB"/>
        </a:p>
      </dgm:t>
    </dgm:pt>
    <dgm:pt modelId="{58A64B52-4F4E-483A-9F8F-CD9E5BD94E56}">
      <dgm:prSet phldrT="[Text]"/>
      <dgm:spPr/>
      <dgm:t>
        <a:bodyPr/>
        <a:lstStyle/>
        <a:p>
          <a:r>
            <a:rPr lang="en-GB">
              <a:solidFill>
                <a:srgbClr val="00B050"/>
              </a:solidFill>
              <a:latin typeface="Times New Roman" panose="02020603050405020304" pitchFamily="18" charset="0"/>
              <a:cs typeface="Times New Roman" panose="02020603050405020304" pitchFamily="18" charset="0"/>
            </a:rPr>
            <a:t>TARGETTING</a:t>
          </a:r>
        </a:p>
        <a:p>
          <a:r>
            <a:rPr lang="en-GB">
              <a:latin typeface="Times New Roman" panose="02020603050405020304" pitchFamily="18" charset="0"/>
              <a:cs typeface="Times New Roman" panose="02020603050405020304" pitchFamily="18" charset="0"/>
            </a:rPr>
            <a:t>Determining the group of customers to aims for in planning marketing strategies.</a:t>
          </a:r>
        </a:p>
      </dgm:t>
    </dgm:pt>
    <dgm:pt modelId="{97E7632E-1DEE-409B-A592-AE4459B2126A}" type="parTrans" cxnId="{C85B7A3B-964E-4AEE-974E-26218945834B}">
      <dgm:prSet/>
      <dgm:spPr/>
      <dgm:t>
        <a:bodyPr/>
        <a:lstStyle/>
        <a:p>
          <a:endParaRPr lang="en-GB"/>
        </a:p>
      </dgm:t>
    </dgm:pt>
    <dgm:pt modelId="{A911D753-53F7-43C6-A5AB-96562DCED328}" type="sibTrans" cxnId="{C85B7A3B-964E-4AEE-974E-26218945834B}">
      <dgm:prSet/>
      <dgm:spPr/>
      <dgm:t>
        <a:bodyPr/>
        <a:lstStyle/>
        <a:p>
          <a:endParaRPr lang="en-GB"/>
        </a:p>
      </dgm:t>
    </dgm:pt>
    <dgm:pt modelId="{EA526F6C-F01D-405B-BA92-98C3997241BA}">
      <dgm:prSet phldrT="[Text]" custT="1"/>
      <dgm:spPr/>
      <dgm:t>
        <a:bodyPr/>
        <a:lstStyle/>
        <a:p>
          <a:r>
            <a:rPr lang="en-GB" sz="800">
              <a:solidFill>
                <a:srgbClr val="7030A0"/>
              </a:solidFill>
              <a:latin typeface="Times New Roman" panose="02020603050405020304" pitchFamily="18" charset="0"/>
              <a:cs typeface="Times New Roman" panose="02020603050405020304" pitchFamily="18" charset="0"/>
            </a:rPr>
            <a:t>POSITIONING</a:t>
          </a:r>
        </a:p>
        <a:p>
          <a:r>
            <a:rPr lang="en-GB" sz="800">
              <a:latin typeface="Times New Roman" panose="02020603050405020304" pitchFamily="18" charset="0"/>
              <a:cs typeface="Times New Roman" panose="02020603050405020304" pitchFamily="18" charset="0"/>
            </a:rPr>
            <a:t>Determines the success of the companies, and it involves creating a concept that appeals to the target markets to occupy the most favourable places that will stick to the customers' mindset. </a:t>
          </a:r>
        </a:p>
        <a:p>
          <a:endParaRPr lang="en-GB" sz="800">
            <a:latin typeface="Times New Roman" panose="02020603050405020304" pitchFamily="18" charset="0"/>
            <a:cs typeface="Times New Roman" panose="02020603050405020304" pitchFamily="18" charset="0"/>
          </a:endParaRPr>
        </a:p>
      </dgm:t>
    </dgm:pt>
    <dgm:pt modelId="{B18BC7A7-B038-478E-8CF6-891FA4BF965C}" type="parTrans" cxnId="{DD7AEAF5-0EBC-4308-A7F1-75898EC9A2C1}">
      <dgm:prSet/>
      <dgm:spPr/>
      <dgm:t>
        <a:bodyPr/>
        <a:lstStyle/>
        <a:p>
          <a:endParaRPr lang="en-GB"/>
        </a:p>
      </dgm:t>
    </dgm:pt>
    <dgm:pt modelId="{7A8D438A-AFD4-40D2-8722-AECD2B7C3096}" type="sibTrans" cxnId="{DD7AEAF5-0EBC-4308-A7F1-75898EC9A2C1}">
      <dgm:prSet/>
      <dgm:spPr/>
      <dgm:t>
        <a:bodyPr/>
        <a:lstStyle/>
        <a:p>
          <a:endParaRPr lang="en-GB"/>
        </a:p>
      </dgm:t>
    </dgm:pt>
    <dgm:pt modelId="{9E8F33B2-A0AF-4020-8F99-77BF5AF4B476}" type="pres">
      <dgm:prSet presAssocID="{D93AD918-D805-44DA-B095-6462C3E1D81A}" presName="compositeShape" presStyleCnt="0">
        <dgm:presLayoutVars>
          <dgm:dir/>
          <dgm:resizeHandles/>
        </dgm:presLayoutVars>
      </dgm:prSet>
      <dgm:spPr/>
    </dgm:pt>
    <dgm:pt modelId="{C3846291-7004-4423-B53C-B997882C6488}" type="pres">
      <dgm:prSet presAssocID="{D93AD918-D805-44DA-B095-6462C3E1D81A}" presName="pyramid" presStyleLbl="node1" presStyleIdx="0" presStyleCnt="1"/>
      <dgm:spPr/>
    </dgm:pt>
    <dgm:pt modelId="{425C917A-5FC7-4EC0-AE3D-A63F87CC8727}" type="pres">
      <dgm:prSet presAssocID="{D93AD918-D805-44DA-B095-6462C3E1D81A}" presName="theList" presStyleCnt="0"/>
      <dgm:spPr/>
    </dgm:pt>
    <dgm:pt modelId="{DFF318D9-AC33-47E2-BE7A-72A68DB21D31}" type="pres">
      <dgm:prSet presAssocID="{56C5A5F3-0964-4559-B860-1AD80374C82E}" presName="aNode" presStyleLbl="fgAcc1" presStyleIdx="0" presStyleCnt="3" custScaleX="144628">
        <dgm:presLayoutVars>
          <dgm:bulletEnabled val="1"/>
        </dgm:presLayoutVars>
      </dgm:prSet>
      <dgm:spPr/>
      <dgm:t>
        <a:bodyPr/>
        <a:lstStyle/>
        <a:p>
          <a:endParaRPr lang="en-US"/>
        </a:p>
      </dgm:t>
    </dgm:pt>
    <dgm:pt modelId="{13E912B4-0AC4-407D-BBE1-57D24A0E3652}" type="pres">
      <dgm:prSet presAssocID="{56C5A5F3-0964-4559-B860-1AD80374C82E}" presName="aSpace" presStyleCnt="0"/>
      <dgm:spPr/>
    </dgm:pt>
    <dgm:pt modelId="{4E389932-D3A6-4E64-B2A3-45F1D7C71EBE}" type="pres">
      <dgm:prSet presAssocID="{58A64B52-4F4E-483A-9F8F-CD9E5BD94E56}" presName="aNode" presStyleLbl="fgAcc1" presStyleIdx="1" presStyleCnt="3" custScaleX="141362">
        <dgm:presLayoutVars>
          <dgm:bulletEnabled val="1"/>
        </dgm:presLayoutVars>
      </dgm:prSet>
      <dgm:spPr/>
      <dgm:t>
        <a:bodyPr/>
        <a:lstStyle/>
        <a:p>
          <a:endParaRPr lang="en-US"/>
        </a:p>
      </dgm:t>
    </dgm:pt>
    <dgm:pt modelId="{1EAC13C3-6F29-4656-8484-A5C521D88186}" type="pres">
      <dgm:prSet presAssocID="{58A64B52-4F4E-483A-9F8F-CD9E5BD94E56}" presName="aSpace" presStyleCnt="0"/>
      <dgm:spPr/>
    </dgm:pt>
    <dgm:pt modelId="{160A5CFB-5ECC-4154-8A33-C4472D7F2CAB}" type="pres">
      <dgm:prSet presAssocID="{EA526F6C-F01D-405B-BA92-98C3997241BA}" presName="aNode" presStyleLbl="fgAcc1" presStyleIdx="2" presStyleCnt="3" custScaleX="138355">
        <dgm:presLayoutVars>
          <dgm:bulletEnabled val="1"/>
        </dgm:presLayoutVars>
      </dgm:prSet>
      <dgm:spPr/>
      <dgm:t>
        <a:bodyPr/>
        <a:lstStyle/>
        <a:p>
          <a:endParaRPr lang="en-US"/>
        </a:p>
      </dgm:t>
    </dgm:pt>
    <dgm:pt modelId="{D70AFC71-4DBA-42BF-8836-024137BAD985}" type="pres">
      <dgm:prSet presAssocID="{EA526F6C-F01D-405B-BA92-98C3997241BA}" presName="aSpace" presStyleCnt="0"/>
      <dgm:spPr/>
    </dgm:pt>
  </dgm:ptLst>
  <dgm:cxnLst>
    <dgm:cxn modelId="{5D5A44CE-CFE0-42CD-B4A3-C7EA77034B98}" type="presOf" srcId="{58A64B52-4F4E-483A-9F8F-CD9E5BD94E56}" destId="{4E389932-D3A6-4E64-B2A3-45F1D7C71EBE}" srcOrd="0" destOrd="0" presId="urn:microsoft.com/office/officeart/2005/8/layout/pyramid2"/>
    <dgm:cxn modelId="{C0EF803A-33A8-405E-93FD-E5395384D8B2}" type="presOf" srcId="{56C5A5F3-0964-4559-B860-1AD80374C82E}" destId="{DFF318D9-AC33-47E2-BE7A-72A68DB21D31}" srcOrd="0" destOrd="0" presId="urn:microsoft.com/office/officeart/2005/8/layout/pyramid2"/>
    <dgm:cxn modelId="{C85B7A3B-964E-4AEE-974E-26218945834B}" srcId="{D93AD918-D805-44DA-B095-6462C3E1D81A}" destId="{58A64B52-4F4E-483A-9F8F-CD9E5BD94E56}" srcOrd="1" destOrd="0" parTransId="{97E7632E-1DEE-409B-A592-AE4459B2126A}" sibTransId="{A911D753-53F7-43C6-A5AB-96562DCED328}"/>
    <dgm:cxn modelId="{F9EDC5F9-19A1-4292-B673-C1759C80F61B}" type="presOf" srcId="{EA526F6C-F01D-405B-BA92-98C3997241BA}" destId="{160A5CFB-5ECC-4154-8A33-C4472D7F2CAB}" srcOrd="0" destOrd="0" presId="urn:microsoft.com/office/officeart/2005/8/layout/pyramid2"/>
    <dgm:cxn modelId="{DD7AEAF5-0EBC-4308-A7F1-75898EC9A2C1}" srcId="{D93AD918-D805-44DA-B095-6462C3E1D81A}" destId="{EA526F6C-F01D-405B-BA92-98C3997241BA}" srcOrd="2" destOrd="0" parTransId="{B18BC7A7-B038-478E-8CF6-891FA4BF965C}" sibTransId="{7A8D438A-AFD4-40D2-8722-AECD2B7C3096}"/>
    <dgm:cxn modelId="{59FE2FA2-745E-452C-9960-5520CA29ECB3}" srcId="{D93AD918-D805-44DA-B095-6462C3E1D81A}" destId="{56C5A5F3-0964-4559-B860-1AD80374C82E}" srcOrd="0" destOrd="0" parTransId="{F130CAD2-BE11-4A66-B28F-9E8A34BCA66A}" sibTransId="{9915EF75-C62A-4D3E-AB22-F92208753B1E}"/>
    <dgm:cxn modelId="{FA4C487D-1FA2-40E7-B9A0-4AB702533F88}" type="presOf" srcId="{D93AD918-D805-44DA-B095-6462C3E1D81A}" destId="{9E8F33B2-A0AF-4020-8F99-77BF5AF4B476}" srcOrd="0" destOrd="0" presId="urn:microsoft.com/office/officeart/2005/8/layout/pyramid2"/>
    <dgm:cxn modelId="{02F1F3B5-6DD3-49DA-83A6-9A82D94E03C7}" type="presParOf" srcId="{9E8F33B2-A0AF-4020-8F99-77BF5AF4B476}" destId="{C3846291-7004-4423-B53C-B997882C6488}" srcOrd="0" destOrd="0" presId="urn:microsoft.com/office/officeart/2005/8/layout/pyramid2"/>
    <dgm:cxn modelId="{7DA5A9D8-1E25-47F8-8EEF-BCF0071FE250}" type="presParOf" srcId="{9E8F33B2-A0AF-4020-8F99-77BF5AF4B476}" destId="{425C917A-5FC7-4EC0-AE3D-A63F87CC8727}" srcOrd="1" destOrd="0" presId="urn:microsoft.com/office/officeart/2005/8/layout/pyramid2"/>
    <dgm:cxn modelId="{A6FB7B89-1194-4362-85D3-02D190BD4C7A}" type="presParOf" srcId="{425C917A-5FC7-4EC0-AE3D-A63F87CC8727}" destId="{DFF318D9-AC33-47E2-BE7A-72A68DB21D31}" srcOrd="0" destOrd="0" presId="urn:microsoft.com/office/officeart/2005/8/layout/pyramid2"/>
    <dgm:cxn modelId="{EBCFB976-D985-4E30-AC78-EEF185ECED6F}" type="presParOf" srcId="{425C917A-5FC7-4EC0-AE3D-A63F87CC8727}" destId="{13E912B4-0AC4-407D-BBE1-57D24A0E3652}" srcOrd="1" destOrd="0" presId="urn:microsoft.com/office/officeart/2005/8/layout/pyramid2"/>
    <dgm:cxn modelId="{4427C5CA-8C74-4532-BC5D-F52653DBCD3B}" type="presParOf" srcId="{425C917A-5FC7-4EC0-AE3D-A63F87CC8727}" destId="{4E389932-D3A6-4E64-B2A3-45F1D7C71EBE}" srcOrd="2" destOrd="0" presId="urn:microsoft.com/office/officeart/2005/8/layout/pyramid2"/>
    <dgm:cxn modelId="{595CD12A-54A8-4374-986C-B9DEA92C5C5F}" type="presParOf" srcId="{425C917A-5FC7-4EC0-AE3D-A63F87CC8727}" destId="{1EAC13C3-6F29-4656-8484-A5C521D88186}" srcOrd="3" destOrd="0" presId="urn:microsoft.com/office/officeart/2005/8/layout/pyramid2"/>
    <dgm:cxn modelId="{6C20D775-9B76-489E-ACF3-723DAC3E30FD}" type="presParOf" srcId="{425C917A-5FC7-4EC0-AE3D-A63F87CC8727}" destId="{160A5CFB-5ECC-4154-8A33-C4472D7F2CAB}" srcOrd="4" destOrd="0" presId="urn:microsoft.com/office/officeart/2005/8/layout/pyramid2"/>
    <dgm:cxn modelId="{E347823F-A2E4-41F8-A960-B5C706A9DBD7}" type="presParOf" srcId="{425C917A-5FC7-4EC0-AE3D-A63F87CC8727}" destId="{D70AFC71-4DBA-42BF-8836-024137BAD985}" srcOrd="5" destOrd="0" presId="urn:microsoft.com/office/officeart/2005/8/layout/pyramid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D4D126E-F03E-47EE-A69F-351BDC753765}"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GB"/>
        </a:p>
      </dgm:t>
    </dgm:pt>
    <dgm:pt modelId="{D5A52387-9BDD-4C97-87B3-7B64159B9404}" type="pres">
      <dgm:prSet presAssocID="{6D4D126E-F03E-47EE-A69F-351BDC753765}" presName="Name0" presStyleCnt="0">
        <dgm:presLayoutVars>
          <dgm:dir/>
          <dgm:animLvl val="lvl"/>
          <dgm:resizeHandles val="exact"/>
        </dgm:presLayoutVars>
      </dgm:prSet>
      <dgm:spPr/>
      <dgm:t>
        <a:bodyPr/>
        <a:lstStyle/>
        <a:p>
          <a:endParaRPr lang="en-US"/>
        </a:p>
      </dgm:t>
    </dgm:pt>
  </dgm:ptLst>
  <dgm:cxnLst>
    <dgm:cxn modelId="{5CBBED79-D456-4F99-9C36-0F0E2232F5AC}" type="presOf" srcId="{6D4D126E-F03E-47EE-A69F-351BDC753765}" destId="{D5A52387-9BDD-4C97-87B3-7B64159B9404}" srcOrd="0" destOrd="0" presId="urn:microsoft.com/office/officeart/2005/8/layout/hProcess7"/>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96B1DB-5E5A-42C1-9229-A06B8A925FFE}">
      <dsp:nvSpPr>
        <dsp:cNvPr id="0" name=""/>
        <dsp:cNvSpPr/>
      </dsp:nvSpPr>
      <dsp:spPr>
        <a:xfrm>
          <a:off x="424995" y="0"/>
          <a:ext cx="1577820" cy="108711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3D0894-328B-401F-BFC9-62B3DF01A940}">
      <dsp:nvSpPr>
        <dsp:cNvPr id="0" name=""/>
        <dsp:cNvSpPr/>
      </dsp:nvSpPr>
      <dsp:spPr>
        <a:xfrm>
          <a:off x="407837" y="952866"/>
          <a:ext cx="1612138" cy="8548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0" numCol="1" spcCol="1270" anchor="t" anchorCtr="0">
          <a:noAutofit/>
        </a:bodyPr>
        <a:lstStyle/>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STRENGTH</a:t>
          </a:r>
        </a:p>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Many companies that produce pollutants to the environment have outstanding strengths like skilled workers, value recognition, and focus on realising their set goals.</a:t>
          </a:r>
        </a:p>
      </dsp:txBody>
      <dsp:txXfrm>
        <a:off x="407837" y="952866"/>
        <a:ext cx="1612138" cy="854899"/>
      </dsp:txXfrm>
    </dsp:sp>
    <dsp:sp modelId="{0399BD01-1A45-4E7F-A5B0-E938CDAA73F4}">
      <dsp:nvSpPr>
        <dsp:cNvPr id="0" name=""/>
        <dsp:cNvSpPr/>
      </dsp:nvSpPr>
      <dsp:spPr>
        <a:xfrm>
          <a:off x="2168293" y="10744"/>
          <a:ext cx="1577820" cy="108711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452957-A62F-4561-BEC7-91D6C8B7577D}">
      <dsp:nvSpPr>
        <dsp:cNvPr id="0" name=""/>
        <dsp:cNvSpPr/>
      </dsp:nvSpPr>
      <dsp:spPr>
        <a:xfrm>
          <a:off x="2177823" y="1155012"/>
          <a:ext cx="1577820" cy="5853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0" numCol="1" spcCol="1270" anchor="t" anchorCtr="0">
          <a:noAutofit/>
        </a:bodyPr>
        <a:lstStyle/>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WEAKNESSES</a:t>
          </a:r>
        </a:p>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The primary weaknesses include focusing on addressing their goals and giving slight preference to the existing environmental issues</a:t>
          </a:r>
        </a:p>
      </dsp:txBody>
      <dsp:txXfrm>
        <a:off x="2177823" y="1155012"/>
        <a:ext cx="1577820" cy="585371"/>
      </dsp:txXfrm>
    </dsp:sp>
    <dsp:sp modelId="{5BD97EC3-79A5-4934-9081-DA56E4B38B7C}">
      <dsp:nvSpPr>
        <dsp:cNvPr id="0" name=""/>
        <dsp:cNvSpPr/>
      </dsp:nvSpPr>
      <dsp:spPr>
        <a:xfrm>
          <a:off x="3913492" y="67894"/>
          <a:ext cx="1577820" cy="108711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0AD2CE-CA0B-4351-833D-0E6D4AAE46BB}">
      <dsp:nvSpPr>
        <dsp:cNvPr id="0" name=""/>
        <dsp:cNvSpPr/>
      </dsp:nvSpPr>
      <dsp:spPr>
        <a:xfrm>
          <a:off x="3913492" y="1155012"/>
          <a:ext cx="1577820" cy="5853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0" numCol="1" spcCol="1270" anchor="t" anchorCtr="0">
          <a:noAutofit/>
        </a:bodyPr>
        <a:lstStyle/>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OPPORTUNITIES</a:t>
          </a:r>
        </a:p>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Firms know how to take the existing opportunities for their benefit.</a:t>
          </a:r>
        </a:p>
      </dsp:txBody>
      <dsp:txXfrm>
        <a:off x="3913492" y="1155012"/>
        <a:ext cx="1577820" cy="585371"/>
      </dsp:txXfrm>
    </dsp:sp>
    <dsp:sp modelId="{EE9B468D-F3C0-4A9F-81FF-4588B1495807}">
      <dsp:nvSpPr>
        <dsp:cNvPr id="0" name=""/>
        <dsp:cNvSpPr/>
      </dsp:nvSpPr>
      <dsp:spPr>
        <a:xfrm>
          <a:off x="1998733" y="1994128"/>
          <a:ext cx="1577820" cy="108711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E3AAF25-216A-411E-8519-FDC243B39D4A}">
      <dsp:nvSpPr>
        <dsp:cNvPr id="0" name=""/>
        <dsp:cNvSpPr/>
      </dsp:nvSpPr>
      <dsp:spPr>
        <a:xfrm>
          <a:off x="2160664" y="3052666"/>
          <a:ext cx="1577820" cy="5853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0" numCol="1" spcCol="1270" anchor="t" anchorCtr="0">
          <a:noAutofit/>
        </a:bodyPr>
        <a:lstStyle/>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THREATS</a:t>
          </a:r>
        </a:p>
        <a:p>
          <a:pPr lvl="0" algn="ctr" defTabSz="311150">
            <a:lnSpc>
              <a:spcPct val="90000"/>
            </a:lnSpc>
            <a:spcBef>
              <a:spcPct val="0"/>
            </a:spcBef>
            <a:spcAft>
              <a:spcPct val="35000"/>
            </a:spcAft>
          </a:pPr>
          <a:r>
            <a:rPr lang="en-GB" sz="700" kern="1200">
              <a:latin typeface="Times New Roman" panose="02020603050405020304" pitchFamily="18" charset="0"/>
              <a:cs typeface="Times New Roman" panose="02020603050405020304" pitchFamily="18" charset="0"/>
            </a:rPr>
            <a:t>The significant threats concerning companies and pollutions come when climate changes, rising sea levels, and reducing tourism activities </a:t>
          </a:r>
        </a:p>
      </dsp:txBody>
      <dsp:txXfrm>
        <a:off x="2160664" y="3052666"/>
        <a:ext cx="1577820" cy="58537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0A0011-8CBC-4E1F-AF9C-F1B480F1A5ED}">
      <dsp:nvSpPr>
        <dsp:cNvPr id="0" name=""/>
        <dsp:cNvSpPr/>
      </dsp:nvSpPr>
      <dsp:spPr>
        <a:xfrm>
          <a:off x="1377949" y="-104407"/>
          <a:ext cx="3314700" cy="33147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222250">
            <a:lnSpc>
              <a:spcPct val="90000"/>
            </a:lnSpc>
            <a:spcBef>
              <a:spcPct val="0"/>
            </a:spcBef>
            <a:spcAft>
              <a:spcPct val="35000"/>
            </a:spcAft>
          </a:pPr>
          <a:endParaRPr lang="en-GB" sz="500" kern="1200"/>
        </a:p>
      </dsp:txBody>
      <dsp:txXfrm>
        <a:off x="2413793" y="61327"/>
        <a:ext cx="1243012" cy="331470"/>
      </dsp:txXfrm>
    </dsp:sp>
    <dsp:sp modelId="{549F3C93-AEFC-4C6E-A101-06B9CAA43CE7}">
      <dsp:nvSpPr>
        <dsp:cNvPr id="0" name=""/>
        <dsp:cNvSpPr/>
      </dsp:nvSpPr>
      <dsp:spPr>
        <a:xfrm>
          <a:off x="1626552" y="283619"/>
          <a:ext cx="2817495" cy="303585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222250">
            <a:lnSpc>
              <a:spcPct val="90000"/>
            </a:lnSpc>
            <a:spcBef>
              <a:spcPct val="0"/>
            </a:spcBef>
            <a:spcAft>
              <a:spcPct val="35000"/>
            </a:spcAft>
          </a:pPr>
          <a:endParaRPr lang="en-GB" sz="500" kern="1200"/>
        </a:p>
      </dsp:txBody>
      <dsp:txXfrm>
        <a:off x="2427777" y="458181"/>
        <a:ext cx="1215044" cy="349122"/>
      </dsp:txXfrm>
    </dsp:sp>
    <dsp:sp modelId="{3B9D0F6B-D3AA-4A69-B33D-560946983B1A}">
      <dsp:nvSpPr>
        <dsp:cNvPr id="0" name=""/>
        <dsp:cNvSpPr/>
      </dsp:nvSpPr>
      <dsp:spPr>
        <a:xfrm>
          <a:off x="1830651" y="681188"/>
          <a:ext cx="2409296" cy="273791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222250">
            <a:lnSpc>
              <a:spcPct val="90000"/>
            </a:lnSpc>
            <a:spcBef>
              <a:spcPct val="0"/>
            </a:spcBef>
            <a:spcAft>
              <a:spcPct val="35000"/>
            </a:spcAft>
          </a:pPr>
          <a:r>
            <a:rPr lang="en-GB" sz="500" kern="1200">
              <a:latin typeface="Times New Roman" panose="02020603050405020304" pitchFamily="18" charset="0"/>
              <a:cs typeface="Times New Roman" panose="02020603050405020304" pitchFamily="18" charset="0"/>
            </a:rPr>
            <a:t>There will be a few rising sea levels incidences, and the wetlands will remain stable. In return, more visitors will be present in an area like Florida and Miami beaches, generating revenue for the states. </a:t>
          </a:r>
        </a:p>
      </dsp:txBody>
      <dsp:txXfrm>
        <a:off x="2411894" y="870104"/>
        <a:ext cx="1246810" cy="377832"/>
      </dsp:txXfrm>
    </dsp:sp>
    <dsp:sp modelId="{A5855950-01D7-478A-857D-99E33197514E}">
      <dsp:nvSpPr>
        <dsp:cNvPr id="0" name=""/>
        <dsp:cNvSpPr/>
      </dsp:nvSpPr>
      <dsp:spPr>
        <a:xfrm>
          <a:off x="2123757" y="1361392"/>
          <a:ext cx="1823085" cy="187471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222250">
            <a:lnSpc>
              <a:spcPct val="90000"/>
            </a:lnSpc>
            <a:spcBef>
              <a:spcPct val="0"/>
            </a:spcBef>
            <a:spcAft>
              <a:spcPct val="35000"/>
            </a:spcAft>
          </a:pPr>
          <a:r>
            <a:rPr lang="en-GB" sz="500" kern="1200">
              <a:latin typeface="Times New Roman" panose="02020603050405020304" pitchFamily="18" charset="0"/>
              <a:cs typeface="Times New Roman" panose="02020603050405020304" pitchFamily="18" charset="0"/>
            </a:rPr>
            <a:t>When the industries worldwide control their pollution activities to the environment, other sectors will benefit maximally, like the tourism industry. </a:t>
          </a:r>
        </a:p>
      </dsp:txBody>
      <dsp:txXfrm>
        <a:off x="2543067" y="1530117"/>
        <a:ext cx="984465" cy="337448"/>
      </dsp:txXfrm>
    </dsp:sp>
    <dsp:sp modelId="{65DEE6DB-8EFC-4778-A018-4E00AADB8DED}">
      <dsp:nvSpPr>
        <dsp:cNvPr id="0" name=""/>
        <dsp:cNvSpPr/>
      </dsp:nvSpPr>
      <dsp:spPr>
        <a:xfrm>
          <a:off x="2372359" y="1884412"/>
          <a:ext cx="1325880" cy="132588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GB" sz="1050" b="1" kern="1200">
              <a:latin typeface="Times New Roman" panose="02020603050405020304" pitchFamily="18" charset="0"/>
              <a:cs typeface="Times New Roman" panose="02020603050405020304" pitchFamily="18" charset="0"/>
            </a:rPr>
            <a:t>The wetland environment </a:t>
          </a:r>
        </a:p>
      </dsp:txBody>
      <dsp:txXfrm>
        <a:off x="2566530" y="2215882"/>
        <a:ext cx="937538" cy="66294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846291-7004-4423-B53C-B997882C6488}">
      <dsp:nvSpPr>
        <dsp:cNvPr id="0" name=""/>
        <dsp:cNvSpPr/>
      </dsp:nvSpPr>
      <dsp:spPr>
        <a:xfrm>
          <a:off x="670875" y="0"/>
          <a:ext cx="3200400" cy="32004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F318D9-AC33-47E2-BE7A-72A68DB21D31}">
      <dsp:nvSpPr>
        <dsp:cNvPr id="0" name=""/>
        <dsp:cNvSpPr/>
      </dsp:nvSpPr>
      <dsp:spPr>
        <a:xfrm>
          <a:off x="1806886" y="321758"/>
          <a:ext cx="3008638"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solidFill>
                <a:srgbClr val="C00000"/>
              </a:solidFill>
              <a:latin typeface="Times New Roman" panose="02020603050405020304" pitchFamily="18" charset="0"/>
              <a:cs typeface="Times New Roman" panose="02020603050405020304" pitchFamily="18" charset="0"/>
            </a:rPr>
            <a:t>SEGMENTATION</a:t>
          </a:r>
        </a:p>
        <a:p>
          <a:pPr lvl="0" algn="ctr" defTabSz="444500">
            <a:lnSpc>
              <a:spcPct val="90000"/>
            </a:lnSpc>
            <a:spcBef>
              <a:spcPct val="0"/>
            </a:spcBef>
            <a:spcAft>
              <a:spcPct val="35000"/>
            </a:spcAft>
          </a:pPr>
          <a:r>
            <a:rPr lang="en-GB" sz="1000" kern="1200">
              <a:latin typeface="Times New Roman" panose="02020603050405020304" pitchFamily="18" charset="0"/>
              <a:cs typeface="Times New Roman" panose="02020603050405020304" pitchFamily="18" charset="0"/>
            </a:rPr>
            <a:t>Identifying groups of customers and dividing the market into identifiable and dissimilar segments . </a:t>
          </a:r>
        </a:p>
      </dsp:txBody>
      <dsp:txXfrm>
        <a:off x="1843869" y="358741"/>
        <a:ext cx="2934672" cy="683628"/>
      </dsp:txXfrm>
    </dsp:sp>
    <dsp:sp modelId="{4E389932-D3A6-4E64-B2A3-45F1D7C71EBE}">
      <dsp:nvSpPr>
        <dsp:cNvPr id="0" name=""/>
        <dsp:cNvSpPr/>
      </dsp:nvSpPr>
      <dsp:spPr>
        <a:xfrm>
          <a:off x="1840856" y="1174052"/>
          <a:ext cx="2940697"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solidFill>
                <a:srgbClr val="00B050"/>
              </a:solidFill>
              <a:latin typeface="Times New Roman" panose="02020603050405020304" pitchFamily="18" charset="0"/>
              <a:cs typeface="Times New Roman" panose="02020603050405020304" pitchFamily="18" charset="0"/>
            </a:rPr>
            <a:t>TARGETTING</a:t>
          </a:r>
        </a:p>
        <a:p>
          <a:pPr lvl="0" algn="ctr" defTabSz="444500">
            <a:lnSpc>
              <a:spcPct val="90000"/>
            </a:lnSpc>
            <a:spcBef>
              <a:spcPct val="0"/>
            </a:spcBef>
            <a:spcAft>
              <a:spcPct val="35000"/>
            </a:spcAft>
          </a:pPr>
          <a:r>
            <a:rPr lang="en-GB" sz="1000" kern="1200">
              <a:latin typeface="Times New Roman" panose="02020603050405020304" pitchFamily="18" charset="0"/>
              <a:cs typeface="Times New Roman" panose="02020603050405020304" pitchFamily="18" charset="0"/>
            </a:rPr>
            <a:t>Determining the group of customers to aims for in planning marketing strategies.</a:t>
          </a:r>
        </a:p>
      </dsp:txBody>
      <dsp:txXfrm>
        <a:off x="1877839" y="1211035"/>
        <a:ext cx="2866731" cy="683628"/>
      </dsp:txXfrm>
    </dsp:sp>
    <dsp:sp modelId="{160A5CFB-5ECC-4154-8A33-C4472D7F2CAB}">
      <dsp:nvSpPr>
        <dsp:cNvPr id="0" name=""/>
        <dsp:cNvSpPr/>
      </dsp:nvSpPr>
      <dsp:spPr>
        <a:xfrm>
          <a:off x="1872133" y="2026347"/>
          <a:ext cx="2878143"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a:solidFill>
                <a:srgbClr val="7030A0"/>
              </a:solidFill>
              <a:latin typeface="Times New Roman" panose="02020603050405020304" pitchFamily="18" charset="0"/>
              <a:cs typeface="Times New Roman" panose="02020603050405020304" pitchFamily="18" charset="0"/>
            </a:rPr>
            <a:t>POSITIONING</a:t>
          </a:r>
        </a:p>
        <a:p>
          <a:pPr lvl="0" algn="ctr" defTabSz="355600">
            <a:lnSpc>
              <a:spcPct val="90000"/>
            </a:lnSpc>
            <a:spcBef>
              <a:spcPct val="0"/>
            </a:spcBef>
            <a:spcAft>
              <a:spcPct val="35000"/>
            </a:spcAft>
          </a:pPr>
          <a:r>
            <a:rPr lang="en-GB" sz="800" kern="1200">
              <a:latin typeface="Times New Roman" panose="02020603050405020304" pitchFamily="18" charset="0"/>
              <a:cs typeface="Times New Roman" panose="02020603050405020304" pitchFamily="18" charset="0"/>
            </a:rPr>
            <a:t>Determines the success of the companies, and it involves creating a concept that appeals to the target markets to occupy the most favourable places that will stick to the customers' mindset. </a:t>
          </a:r>
        </a:p>
        <a:p>
          <a:pPr lvl="0" algn="ctr" defTabSz="355600">
            <a:lnSpc>
              <a:spcPct val="90000"/>
            </a:lnSpc>
            <a:spcBef>
              <a:spcPct val="0"/>
            </a:spcBef>
            <a:spcAft>
              <a:spcPct val="35000"/>
            </a:spcAft>
          </a:pPr>
          <a:endParaRPr lang="en-GB" sz="800" kern="1200">
            <a:latin typeface="Times New Roman" panose="02020603050405020304" pitchFamily="18" charset="0"/>
            <a:cs typeface="Times New Roman" panose="02020603050405020304" pitchFamily="18" charset="0"/>
          </a:endParaRPr>
        </a:p>
      </dsp:txBody>
      <dsp:txXfrm>
        <a:off x="1909116" y="2063330"/>
        <a:ext cx="2804177" cy="68362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2021-11-23T19:43:00Z</dcterms:created>
  <dcterms:modified xsi:type="dcterms:W3CDTF">2021-11-23T19:43:00Z</dcterms:modified>
</cp:coreProperties>
</file>